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AE" w:rsidRDefault="00627CAE" w:rsidP="00627CAE">
      <w:pPr>
        <w:spacing w:after="0" w:line="360" w:lineRule="auto"/>
        <w:jc w:val="both"/>
        <w:rPr>
          <w:rFonts w:ascii="Palatino Linotype" w:hAnsi="Palatino Linotype" w:cs="Arial"/>
          <w:b/>
          <w:sz w:val="24"/>
          <w:szCs w:val="24"/>
        </w:rPr>
      </w:pPr>
      <w:r w:rsidRPr="0037358E">
        <w:rPr>
          <w:rFonts w:ascii="Palatino Linotype" w:hAnsi="Palatino Linotype" w:cs="Arial"/>
          <w:b/>
          <w:sz w:val="24"/>
          <w:szCs w:val="24"/>
        </w:rPr>
        <w:t xml:space="preserve">VOTO PARTICULAR DEL COMISIONADO JOSÉ GUADALUPE LUNA HERNÁNDEZ EN EL RECURSO DE REVISIÓN </w:t>
      </w:r>
      <w:r w:rsidR="0070347F">
        <w:rPr>
          <w:rFonts w:ascii="Palatino Linotype" w:hAnsi="Palatino Linotype" w:cs="Arial"/>
          <w:b/>
          <w:sz w:val="24"/>
          <w:szCs w:val="24"/>
        </w:rPr>
        <w:t>01871</w:t>
      </w:r>
      <w:r>
        <w:rPr>
          <w:rFonts w:ascii="Palatino Linotype" w:hAnsi="Palatino Linotype" w:cs="Arial"/>
          <w:b/>
          <w:sz w:val="24"/>
          <w:szCs w:val="24"/>
        </w:rPr>
        <w:t>/INFOEM/IP/RR/</w:t>
      </w:r>
      <w:r w:rsidR="00400EB2">
        <w:rPr>
          <w:rFonts w:ascii="Palatino Linotype" w:hAnsi="Palatino Linotype" w:cs="Arial"/>
          <w:b/>
          <w:sz w:val="24"/>
          <w:szCs w:val="24"/>
        </w:rPr>
        <w:t>2018</w:t>
      </w:r>
      <w:r w:rsidRPr="0037358E">
        <w:rPr>
          <w:rFonts w:ascii="Palatino Linotype" w:hAnsi="Palatino Linotype" w:cs="Arial"/>
          <w:b/>
          <w:sz w:val="24"/>
          <w:szCs w:val="24"/>
        </w:rPr>
        <w:t>.</w:t>
      </w:r>
    </w:p>
    <w:p w:rsidR="0009550C" w:rsidRDefault="0009550C" w:rsidP="00627CAE">
      <w:pPr>
        <w:spacing w:after="0" w:line="360" w:lineRule="auto"/>
        <w:jc w:val="both"/>
        <w:rPr>
          <w:rFonts w:ascii="Palatino Linotype" w:hAnsi="Palatino Linotype" w:cs="Arial"/>
          <w:b/>
          <w:sz w:val="24"/>
          <w:szCs w:val="24"/>
        </w:rPr>
      </w:pPr>
    </w:p>
    <w:p w:rsidR="00627CAE" w:rsidRPr="0037358E" w:rsidRDefault="00627CAE" w:rsidP="00627CAE">
      <w:pPr>
        <w:spacing w:after="0" w:line="360" w:lineRule="auto"/>
        <w:jc w:val="both"/>
        <w:rPr>
          <w:rFonts w:ascii="Palatino Linotype" w:hAnsi="Palatino Linotype" w:cs="Arial"/>
          <w:sz w:val="24"/>
          <w:szCs w:val="24"/>
        </w:rPr>
      </w:pPr>
      <w:r w:rsidRPr="0037358E">
        <w:rPr>
          <w:rFonts w:ascii="Palatino Linotype" w:hAnsi="Palatino Linotype" w:cs="Arial"/>
          <w:sz w:val="24"/>
          <w:szCs w:val="24"/>
        </w:rPr>
        <w:t xml:space="preserve">El diseño constitucional y la fuerza de nuestras resoluciones </w:t>
      </w:r>
      <w:r>
        <w:rPr>
          <w:rFonts w:ascii="Palatino Linotype" w:hAnsi="Palatino Linotype" w:cs="Arial"/>
          <w:sz w:val="24"/>
          <w:szCs w:val="24"/>
        </w:rPr>
        <w:t>permiten</w:t>
      </w:r>
      <w:r w:rsidRPr="0037358E">
        <w:rPr>
          <w:rFonts w:ascii="Palatino Linotype" w:hAnsi="Palatino Linotype" w:cs="Arial"/>
          <w:sz w:val="24"/>
          <w:szCs w:val="24"/>
        </w:rPr>
        <w:t xml:space="preserve"> que el Estado Mexicano cumpla con sus compromisos </w:t>
      </w:r>
      <w:r w:rsidR="0070347F">
        <w:rPr>
          <w:rFonts w:ascii="Palatino Linotype" w:hAnsi="Palatino Linotype" w:cs="Arial"/>
          <w:sz w:val="24"/>
          <w:szCs w:val="24"/>
        </w:rPr>
        <w:t>i</w:t>
      </w:r>
      <w:r w:rsidRPr="0037358E">
        <w:rPr>
          <w:rFonts w:ascii="Palatino Linotype" w:hAnsi="Palatino Linotype" w:cs="Arial"/>
          <w:sz w:val="24"/>
          <w:szCs w:val="24"/>
        </w:rPr>
        <w:t xml:space="preserve">nternacionales estableciendo un procedimiento expedito, sencillo y efectivo para reparar las posibles afectaciones al derecho humano de acceso a la información pública. </w:t>
      </w:r>
      <w:r w:rsidR="00365A30">
        <w:rPr>
          <w:rFonts w:ascii="Palatino Linotype" w:hAnsi="Palatino Linotype" w:cs="Arial"/>
          <w:sz w:val="24"/>
          <w:szCs w:val="24"/>
        </w:rPr>
        <w:t xml:space="preserve"> </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Las personas físicas y morales, a pesar de adquirir la condición de sujetos obligados, siguen conservando su naturaleza indisoluble de personas, por lo que el órgano garante debe cumplir el mandato impuesto por el párrafo tercero del artículo primero constitucional que establece la obligación de todas las autoridades de promover, respetar, proteger y garantizar los derechos humanos.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La interpretación conforme, de la disposición sospechosa de inconstitucionalidad e inconvencionalidad, que se propone, encuentra mayor respaldo al armonizarse, además, con el texto de los artículos 158 de la Ley General y 196 de la Ley de Transparencia y Acceso a la Información del Estado de México y Municipios, ya que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w:t>
      </w:r>
      <w:r w:rsidR="00776441">
        <w:rPr>
          <w:rFonts w:ascii="Palatino Linotype" w:hAnsi="Palatino Linotype" w:cs="Arial"/>
          <w:color w:val="000000" w:themeColor="text1"/>
          <w:sz w:val="24"/>
          <w:szCs w:val="24"/>
          <w:lang w:val="es-ES"/>
        </w:rPr>
        <w:t xml:space="preserve"> o realicen actos de autoridad.</w:t>
      </w:r>
    </w:p>
    <w:p w:rsidR="00776441" w:rsidRDefault="00776441"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776441">
        <w:rPr>
          <w:rFonts w:ascii="Palatino Linotype" w:hAnsi="Palatino Linotype" w:cs="Arial"/>
          <w:color w:val="000000" w:themeColor="text1"/>
          <w:sz w:val="24"/>
          <w:szCs w:val="24"/>
          <w:lang w:val="es-ES"/>
        </w:rPr>
        <w:lastRenderedPageBreak/>
        <w:t>Toda la información que sea generada, posea y administre, es pública y accesible de manera permanente a cualquier persona, privilegiando el principio de máxima publicidad de la misma, por lo tanto esta debe ser proporcionada; en el caso de las cuotas sindicales si bien se trata del monto aportado corresponde de un particular también lo que es que no se vulnera la privacidad de un particular, ya que no se está exponiend</w:t>
      </w:r>
      <w:r>
        <w:rPr>
          <w:rFonts w:ascii="Palatino Linotype" w:hAnsi="Palatino Linotype" w:cs="Arial"/>
          <w:color w:val="000000" w:themeColor="text1"/>
          <w:sz w:val="24"/>
          <w:szCs w:val="24"/>
          <w:lang w:val="es-ES"/>
        </w:rPr>
        <w:t xml:space="preserve">o a la persona como individuo, </w:t>
      </w:r>
      <w:r w:rsidRPr="00776441">
        <w:rPr>
          <w:rFonts w:ascii="Palatino Linotype" w:hAnsi="Palatino Linotype" w:cs="Arial"/>
          <w:color w:val="000000" w:themeColor="text1"/>
          <w:sz w:val="24"/>
          <w:szCs w:val="24"/>
          <w:lang w:val="es-ES"/>
        </w:rPr>
        <w:t>por lo tanto, no lo hace identificable; además, al poder acceder a la información por otras vías, nada practico serviría aprobar su clasificación.</w:t>
      </w:r>
    </w:p>
    <w:p w:rsidR="00D63660" w:rsidRDefault="00D63660"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DC11A3" w:rsidRDefault="00DC11A3" w:rsidP="00DC11A3">
      <w:pPr>
        <w:spacing w:after="0" w:line="360" w:lineRule="auto"/>
        <w:jc w:val="center"/>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INDICE</w:t>
      </w:r>
    </w:p>
    <w:p w:rsidR="00DC11A3" w:rsidRDefault="00DC11A3" w:rsidP="00DC11A3">
      <w:pPr>
        <w:spacing w:after="0" w:line="360" w:lineRule="auto"/>
        <w:jc w:val="both"/>
        <w:rPr>
          <w:rFonts w:ascii="Palatino Linotype" w:eastAsia="Times New Roman" w:hAnsi="Palatino Linotype" w:cs="Arial"/>
          <w:sz w:val="24"/>
          <w:szCs w:val="24"/>
          <w:lang w:val="es-ES" w:eastAsia="es-ES"/>
        </w:rPr>
      </w:pPr>
    </w:p>
    <w:sdt>
      <w:sdtPr>
        <w:rPr>
          <w:rFonts w:asciiTheme="minorHAnsi" w:eastAsiaTheme="minorHAnsi" w:hAnsiTheme="minorHAnsi" w:cstheme="minorBidi"/>
          <w:color w:val="auto"/>
          <w:sz w:val="22"/>
          <w:szCs w:val="22"/>
          <w:lang w:val="es-ES" w:eastAsia="en-US"/>
        </w:rPr>
        <w:id w:val="-248270497"/>
        <w:docPartObj>
          <w:docPartGallery w:val="Table of Contents"/>
          <w:docPartUnique/>
        </w:docPartObj>
      </w:sdtPr>
      <w:sdtEndPr>
        <w:rPr>
          <w:b/>
          <w:bCs/>
        </w:rPr>
      </w:sdtEndPr>
      <w:sdtContent>
        <w:p w:rsidR="00DC11A3" w:rsidRPr="003416F2" w:rsidRDefault="00DC11A3" w:rsidP="00DC11A3">
          <w:pPr>
            <w:pStyle w:val="TtulodeTDC"/>
            <w:rPr>
              <w:rFonts w:ascii="Palatino Linotype" w:hAnsi="Palatino Linotype"/>
              <w:b/>
              <w:color w:val="auto"/>
              <w:sz w:val="24"/>
            </w:rPr>
          </w:pPr>
          <w:r w:rsidRPr="003416F2">
            <w:rPr>
              <w:rFonts w:ascii="Palatino Linotype" w:hAnsi="Palatino Linotype"/>
              <w:b/>
              <w:color w:val="auto"/>
              <w:sz w:val="24"/>
              <w:lang w:val="es-ES"/>
            </w:rPr>
            <w:t>Contenido</w:t>
          </w:r>
        </w:p>
        <w:p w:rsidR="00D63660" w:rsidRDefault="00DC11A3" w:rsidP="00D63660">
          <w:pPr>
            <w:pStyle w:val="TDC1"/>
            <w:tabs>
              <w:tab w:val="left" w:pos="440"/>
              <w:tab w:val="right" w:leader="dot" w:pos="8828"/>
            </w:tabs>
            <w:ind w:left="426" w:hanging="426"/>
            <w:rPr>
              <w:rFonts w:eastAsiaTheme="minorEastAsia"/>
              <w:noProof/>
              <w:lang w:eastAsia="es-MX"/>
            </w:rPr>
          </w:pPr>
          <w:r>
            <w:rPr>
              <w:rFonts w:eastAsiaTheme="minorEastAsia"/>
              <w:sz w:val="24"/>
              <w:szCs w:val="24"/>
              <w:lang w:val="es-ES_tradnl" w:eastAsia="es-ES"/>
            </w:rPr>
            <w:fldChar w:fldCharType="begin"/>
          </w:r>
          <w:r>
            <w:instrText xml:space="preserve"> TOC \o "1-3" \h \z \u </w:instrText>
          </w:r>
          <w:r>
            <w:rPr>
              <w:rFonts w:eastAsiaTheme="minorEastAsia"/>
              <w:sz w:val="24"/>
              <w:szCs w:val="24"/>
              <w:lang w:val="es-ES_tradnl" w:eastAsia="es-ES"/>
            </w:rPr>
            <w:fldChar w:fldCharType="separate"/>
          </w:r>
          <w:hyperlink w:anchor="_Toc521942226" w:history="1">
            <w:r w:rsidR="00D63660" w:rsidRPr="004D7502">
              <w:rPr>
                <w:rStyle w:val="Hipervnculo"/>
                <w:rFonts w:ascii="Palatino Linotype" w:hAnsi="Palatino Linotype"/>
                <w:b/>
                <w:noProof/>
              </w:rPr>
              <w:t>I.</w:t>
            </w:r>
            <w:r w:rsidR="00D63660">
              <w:rPr>
                <w:rFonts w:eastAsiaTheme="minorEastAsia"/>
                <w:noProof/>
                <w:lang w:eastAsia="es-MX"/>
              </w:rPr>
              <w:tab/>
            </w:r>
            <w:r w:rsidR="00D63660" w:rsidRPr="004D7502">
              <w:rPr>
                <w:rStyle w:val="Hipervnculo"/>
                <w:rFonts w:ascii="Palatino Linotype" w:hAnsi="Palatino Linotype"/>
                <w:b/>
                <w:noProof/>
              </w:rPr>
              <w:t>Consideraciones generales.</w:t>
            </w:r>
            <w:r w:rsidR="00D63660">
              <w:rPr>
                <w:noProof/>
                <w:webHidden/>
              </w:rPr>
              <w:tab/>
            </w:r>
            <w:r w:rsidR="00D63660">
              <w:rPr>
                <w:noProof/>
                <w:webHidden/>
              </w:rPr>
              <w:fldChar w:fldCharType="begin"/>
            </w:r>
            <w:r w:rsidR="00D63660">
              <w:rPr>
                <w:noProof/>
                <w:webHidden/>
              </w:rPr>
              <w:instrText xml:space="preserve"> PAGEREF _Toc521942226 \h </w:instrText>
            </w:r>
            <w:r w:rsidR="00D63660">
              <w:rPr>
                <w:noProof/>
                <w:webHidden/>
              </w:rPr>
            </w:r>
            <w:r w:rsidR="00D63660">
              <w:rPr>
                <w:noProof/>
                <w:webHidden/>
              </w:rPr>
              <w:fldChar w:fldCharType="separate"/>
            </w:r>
            <w:r w:rsidR="00796124">
              <w:rPr>
                <w:noProof/>
                <w:webHidden/>
              </w:rPr>
              <w:t>3</w:t>
            </w:r>
            <w:r w:rsidR="00D63660">
              <w:rPr>
                <w:noProof/>
                <w:webHidden/>
              </w:rPr>
              <w:fldChar w:fldCharType="end"/>
            </w:r>
          </w:hyperlink>
        </w:p>
        <w:p w:rsidR="00D63660" w:rsidRDefault="00B111FB" w:rsidP="00D63660">
          <w:pPr>
            <w:pStyle w:val="TDC1"/>
            <w:tabs>
              <w:tab w:val="left" w:pos="660"/>
              <w:tab w:val="right" w:leader="dot" w:pos="8828"/>
            </w:tabs>
            <w:ind w:left="426" w:hanging="426"/>
            <w:rPr>
              <w:rFonts w:eastAsiaTheme="minorEastAsia"/>
              <w:noProof/>
              <w:lang w:eastAsia="es-MX"/>
            </w:rPr>
          </w:pPr>
          <w:hyperlink w:anchor="_Toc521942227" w:history="1">
            <w:r w:rsidR="00D63660" w:rsidRPr="004D7502">
              <w:rPr>
                <w:rStyle w:val="Hipervnculo"/>
                <w:rFonts w:ascii="Palatino Linotype" w:hAnsi="Palatino Linotype"/>
                <w:b/>
                <w:noProof/>
              </w:rPr>
              <w:t>II.</w:t>
            </w:r>
            <w:r w:rsidR="00D63660">
              <w:rPr>
                <w:rFonts w:eastAsiaTheme="minorEastAsia"/>
                <w:noProof/>
                <w:lang w:eastAsia="es-MX"/>
              </w:rPr>
              <w:tab/>
            </w:r>
            <w:r w:rsidR="00D63660" w:rsidRPr="004D7502">
              <w:rPr>
                <w:rStyle w:val="Hipervnculo"/>
                <w:rFonts w:ascii="Palatino Linotype" w:hAnsi="Palatino Linotype"/>
                <w:b/>
                <w:noProof/>
              </w:rPr>
              <w:t>La condición de definitividad de las resoluciones de los órganos garantes del derecho de acceso a la información pública.</w:t>
            </w:r>
            <w:r w:rsidR="00D63660">
              <w:rPr>
                <w:noProof/>
                <w:webHidden/>
              </w:rPr>
              <w:tab/>
            </w:r>
            <w:r w:rsidR="00D63660">
              <w:rPr>
                <w:noProof/>
                <w:webHidden/>
              </w:rPr>
              <w:fldChar w:fldCharType="begin"/>
            </w:r>
            <w:r w:rsidR="00D63660">
              <w:rPr>
                <w:noProof/>
                <w:webHidden/>
              </w:rPr>
              <w:instrText xml:space="preserve"> PAGEREF _Toc521942227 \h </w:instrText>
            </w:r>
            <w:r w:rsidR="00D63660">
              <w:rPr>
                <w:noProof/>
                <w:webHidden/>
              </w:rPr>
            </w:r>
            <w:r w:rsidR="00D63660">
              <w:rPr>
                <w:noProof/>
                <w:webHidden/>
              </w:rPr>
              <w:fldChar w:fldCharType="separate"/>
            </w:r>
            <w:r w:rsidR="00796124">
              <w:rPr>
                <w:noProof/>
                <w:webHidden/>
              </w:rPr>
              <w:t>4</w:t>
            </w:r>
            <w:r w:rsidR="00D63660">
              <w:rPr>
                <w:noProof/>
                <w:webHidden/>
              </w:rPr>
              <w:fldChar w:fldCharType="end"/>
            </w:r>
          </w:hyperlink>
        </w:p>
        <w:p w:rsidR="00D63660" w:rsidRDefault="00B111FB" w:rsidP="00D63660">
          <w:pPr>
            <w:pStyle w:val="TDC1"/>
            <w:tabs>
              <w:tab w:val="left" w:pos="660"/>
              <w:tab w:val="right" w:leader="dot" w:pos="8828"/>
            </w:tabs>
            <w:ind w:left="426" w:hanging="426"/>
            <w:rPr>
              <w:rFonts w:eastAsiaTheme="minorEastAsia"/>
              <w:noProof/>
              <w:lang w:eastAsia="es-MX"/>
            </w:rPr>
          </w:pPr>
          <w:hyperlink w:anchor="_Toc521942228" w:history="1">
            <w:r w:rsidR="00D63660" w:rsidRPr="004D7502">
              <w:rPr>
                <w:rStyle w:val="Hipervnculo"/>
                <w:rFonts w:ascii="Palatino Linotype" w:hAnsi="Palatino Linotype"/>
                <w:b/>
                <w:noProof/>
                <w:lang w:val="es-ES"/>
              </w:rPr>
              <w:t>III.</w:t>
            </w:r>
            <w:r w:rsidR="00D63660">
              <w:rPr>
                <w:rFonts w:eastAsiaTheme="minorEastAsia"/>
                <w:noProof/>
                <w:lang w:eastAsia="es-MX"/>
              </w:rPr>
              <w:tab/>
            </w:r>
            <w:r w:rsidR="00D63660" w:rsidRPr="004D7502">
              <w:rPr>
                <w:rStyle w:val="Hipervnculo"/>
                <w:rFonts w:ascii="Palatino Linotype" w:hAnsi="Palatino Linotype"/>
                <w:b/>
                <w:noProof/>
                <w:lang w:val="es-ES"/>
              </w:rPr>
              <w:t>La naturaleza de los Sujetos Obligados.</w:t>
            </w:r>
            <w:r w:rsidR="00D63660">
              <w:rPr>
                <w:noProof/>
                <w:webHidden/>
              </w:rPr>
              <w:tab/>
            </w:r>
            <w:r w:rsidR="00D63660">
              <w:rPr>
                <w:noProof/>
                <w:webHidden/>
              </w:rPr>
              <w:fldChar w:fldCharType="begin"/>
            </w:r>
            <w:r w:rsidR="00D63660">
              <w:rPr>
                <w:noProof/>
                <w:webHidden/>
              </w:rPr>
              <w:instrText xml:space="preserve"> PAGEREF _Toc521942228 \h </w:instrText>
            </w:r>
            <w:r w:rsidR="00D63660">
              <w:rPr>
                <w:noProof/>
                <w:webHidden/>
              </w:rPr>
            </w:r>
            <w:r w:rsidR="00D63660">
              <w:rPr>
                <w:noProof/>
                <w:webHidden/>
              </w:rPr>
              <w:fldChar w:fldCharType="separate"/>
            </w:r>
            <w:r w:rsidR="00796124">
              <w:rPr>
                <w:noProof/>
                <w:webHidden/>
              </w:rPr>
              <w:t>7</w:t>
            </w:r>
            <w:r w:rsidR="00D63660">
              <w:rPr>
                <w:noProof/>
                <w:webHidden/>
              </w:rPr>
              <w:fldChar w:fldCharType="end"/>
            </w:r>
          </w:hyperlink>
        </w:p>
        <w:p w:rsidR="00D63660" w:rsidRDefault="00B111FB" w:rsidP="00D63660">
          <w:pPr>
            <w:pStyle w:val="TDC1"/>
            <w:tabs>
              <w:tab w:val="left" w:pos="660"/>
              <w:tab w:val="right" w:leader="dot" w:pos="8828"/>
            </w:tabs>
            <w:ind w:left="426" w:hanging="426"/>
            <w:rPr>
              <w:rFonts w:eastAsiaTheme="minorEastAsia"/>
              <w:noProof/>
              <w:lang w:eastAsia="es-MX"/>
            </w:rPr>
          </w:pPr>
          <w:hyperlink w:anchor="_Toc521942229" w:history="1">
            <w:r w:rsidR="00D63660" w:rsidRPr="004D7502">
              <w:rPr>
                <w:rStyle w:val="Hipervnculo"/>
                <w:rFonts w:ascii="Palatino Linotype" w:hAnsi="Palatino Linotype" w:cs="Arial"/>
                <w:b/>
                <w:noProof/>
                <w:lang w:val="es-ES"/>
              </w:rPr>
              <w:t>IV.</w:t>
            </w:r>
            <w:r w:rsidR="00D63660">
              <w:rPr>
                <w:rFonts w:eastAsiaTheme="minorEastAsia"/>
                <w:noProof/>
                <w:lang w:eastAsia="es-MX"/>
              </w:rPr>
              <w:tab/>
            </w:r>
            <w:r w:rsidR="00D63660" w:rsidRPr="004D7502">
              <w:rPr>
                <w:rStyle w:val="Hipervnculo"/>
                <w:rFonts w:ascii="Palatino Linotype" w:hAnsi="Palatino Linotype"/>
                <w:b/>
                <w:noProof/>
                <w:lang w:val="es-ES"/>
              </w:rPr>
              <w:t>Problema y propuesta.</w:t>
            </w:r>
            <w:r w:rsidR="00D63660">
              <w:rPr>
                <w:noProof/>
                <w:webHidden/>
              </w:rPr>
              <w:tab/>
            </w:r>
            <w:r w:rsidR="00D63660">
              <w:rPr>
                <w:noProof/>
                <w:webHidden/>
              </w:rPr>
              <w:fldChar w:fldCharType="begin"/>
            </w:r>
            <w:r w:rsidR="00D63660">
              <w:rPr>
                <w:noProof/>
                <w:webHidden/>
              </w:rPr>
              <w:instrText xml:space="preserve"> PAGEREF _Toc521942229 \h </w:instrText>
            </w:r>
            <w:r w:rsidR="00D63660">
              <w:rPr>
                <w:noProof/>
                <w:webHidden/>
              </w:rPr>
            </w:r>
            <w:r w:rsidR="00D63660">
              <w:rPr>
                <w:noProof/>
                <w:webHidden/>
              </w:rPr>
              <w:fldChar w:fldCharType="separate"/>
            </w:r>
            <w:r w:rsidR="00796124">
              <w:rPr>
                <w:noProof/>
                <w:webHidden/>
              </w:rPr>
              <w:t>14</w:t>
            </w:r>
            <w:r w:rsidR="00D63660">
              <w:rPr>
                <w:noProof/>
                <w:webHidden/>
              </w:rPr>
              <w:fldChar w:fldCharType="end"/>
            </w:r>
          </w:hyperlink>
        </w:p>
        <w:p w:rsidR="00D63660" w:rsidRDefault="00B111FB" w:rsidP="00D63660">
          <w:pPr>
            <w:pStyle w:val="TDC1"/>
            <w:tabs>
              <w:tab w:val="right" w:leader="dot" w:pos="8828"/>
            </w:tabs>
            <w:ind w:left="426" w:hanging="426"/>
            <w:rPr>
              <w:rFonts w:eastAsiaTheme="minorEastAsia"/>
              <w:noProof/>
              <w:lang w:eastAsia="es-MX"/>
            </w:rPr>
          </w:pPr>
          <w:hyperlink w:anchor="_Toc521942230" w:history="1">
            <w:r w:rsidR="00D63660" w:rsidRPr="004D7502">
              <w:rPr>
                <w:rStyle w:val="Hipervnculo"/>
                <w:rFonts w:ascii="Palatino Linotype" w:hAnsi="Palatino Linotype" w:cs="Arial"/>
                <w:b/>
                <w:noProof/>
              </w:rPr>
              <w:t xml:space="preserve">V. </w:t>
            </w:r>
            <w:r w:rsidR="00D63660">
              <w:rPr>
                <w:rStyle w:val="Hipervnculo"/>
                <w:rFonts w:ascii="Palatino Linotype" w:hAnsi="Palatino Linotype" w:cs="Arial"/>
                <w:b/>
                <w:noProof/>
              </w:rPr>
              <w:t xml:space="preserve">   </w:t>
            </w:r>
            <w:r w:rsidR="00D63660" w:rsidRPr="004D7502">
              <w:rPr>
                <w:rStyle w:val="Hipervnculo"/>
                <w:rFonts w:ascii="Palatino Linotype" w:hAnsi="Palatino Linotype" w:cs="Arial"/>
                <w:b/>
                <w:noProof/>
              </w:rPr>
              <w:t>De la clasificación de la información de los numerales 1 y 3 de la solicitud de información como confidencial.</w:t>
            </w:r>
            <w:r w:rsidR="00D63660">
              <w:rPr>
                <w:noProof/>
                <w:webHidden/>
              </w:rPr>
              <w:tab/>
            </w:r>
            <w:r w:rsidR="00D63660">
              <w:rPr>
                <w:noProof/>
                <w:webHidden/>
              </w:rPr>
              <w:fldChar w:fldCharType="begin"/>
            </w:r>
            <w:r w:rsidR="00D63660">
              <w:rPr>
                <w:noProof/>
                <w:webHidden/>
              </w:rPr>
              <w:instrText xml:space="preserve"> PAGEREF _Toc521942230 \h </w:instrText>
            </w:r>
            <w:r w:rsidR="00D63660">
              <w:rPr>
                <w:noProof/>
                <w:webHidden/>
              </w:rPr>
            </w:r>
            <w:r w:rsidR="00D63660">
              <w:rPr>
                <w:noProof/>
                <w:webHidden/>
              </w:rPr>
              <w:fldChar w:fldCharType="separate"/>
            </w:r>
            <w:r w:rsidR="00796124">
              <w:rPr>
                <w:noProof/>
                <w:webHidden/>
              </w:rPr>
              <w:t>18</w:t>
            </w:r>
            <w:r w:rsidR="00D63660">
              <w:rPr>
                <w:noProof/>
                <w:webHidden/>
              </w:rPr>
              <w:fldChar w:fldCharType="end"/>
            </w:r>
          </w:hyperlink>
        </w:p>
        <w:p w:rsidR="00D63660" w:rsidRDefault="00B111FB" w:rsidP="00D63660">
          <w:pPr>
            <w:pStyle w:val="TDC1"/>
            <w:tabs>
              <w:tab w:val="left" w:pos="660"/>
              <w:tab w:val="right" w:leader="dot" w:pos="8828"/>
            </w:tabs>
            <w:ind w:left="426" w:hanging="426"/>
            <w:rPr>
              <w:rFonts w:eastAsiaTheme="minorEastAsia"/>
              <w:noProof/>
              <w:lang w:eastAsia="es-MX"/>
            </w:rPr>
          </w:pPr>
          <w:hyperlink w:anchor="_Toc521942231" w:history="1">
            <w:r w:rsidR="00D63660" w:rsidRPr="004D7502">
              <w:rPr>
                <w:rStyle w:val="Hipervnculo"/>
                <w:rFonts w:ascii="Palatino Linotype" w:hAnsi="Palatino Linotype"/>
                <w:b/>
                <w:noProof/>
                <w:lang w:val="es-ES"/>
              </w:rPr>
              <w:t>V.</w:t>
            </w:r>
            <w:r w:rsidR="00D63660">
              <w:rPr>
                <w:rFonts w:eastAsiaTheme="minorEastAsia"/>
                <w:noProof/>
                <w:lang w:eastAsia="es-MX"/>
              </w:rPr>
              <w:tab/>
            </w:r>
            <w:r w:rsidR="00D63660" w:rsidRPr="004D7502">
              <w:rPr>
                <w:rStyle w:val="Hipervnculo"/>
                <w:rFonts w:ascii="Palatino Linotype" w:hAnsi="Palatino Linotype"/>
                <w:b/>
                <w:noProof/>
                <w:lang w:val="es-ES"/>
              </w:rPr>
              <w:t>Conclusión.</w:t>
            </w:r>
            <w:r w:rsidR="00D63660">
              <w:rPr>
                <w:noProof/>
                <w:webHidden/>
              </w:rPr>
              <w:tab/>
            </w:r>
            <w:r w:rsidR="00D63660">
              <w:rPr>
                <w:noProof/>
                <w:webHidden/>
              </w:rPr>
              <w:fldChar w:fldCharType="begin"/>
            </w:r>
            <w:r w:rsidR="00D63660">
              <w:rPr>
                <w:noProof/>
                <w:webHidden/>
              </w:rPr>
              <w:instrText xml:space="preserve"> PAGEREF _Toc521942231 \h </w:instrText>
            </w:r>
            <w:r w:rsidR="00D63660">
              <w:rPr>
                <w:noProof/>
                <w:webHidden/>
              </w:rPr>
            </w:r>
            <w:r w:rsidR="00D63660">
              <w:rPr>
                <w:noProof/>
                <w:webHidden/>
              </w:rPr>
              <w:fldChar w:fldCharType="separate"/>
            </w:r>
            <w:r w:rsidR="00796124">
              <w:rPr>
                <w:noProof/>
                <w:webHidden/>
              </w:rPr>
              <w:t>23</w:t>
            </w:r>
            <w:r w:rsidR="00D63660">
              <w:rPr>
                <w:noProof/>
                <w:webHidden/>
              </w:rPr>
              <w:fldChar w:fldCharType="end"/>
            </w:r>
          </w:hyperlink>
        </w:p>
        <w:p w:rsidR="00DC11A3" w:rsidRDefault="00DC11A3" w:rsidP="00DC11A3">
          <w:pPr>
            <w:rPr>
              <w:b/>
              <w:bCs/>
              <w:lang w:val="es-ES"/>
            </w:rPr>
          </w:pPr>
          <w:r>
            <w:rPr>
              <w:b/>
              <w:bCs/>
              <w:lang w:val="es-ES"/>
            </w:rPr>
            <w:fldChar w:fldCharType="end"/>
          </w:r>
        </w:p>
      </w:sdtContent>
    </w:sdt>
    <w:p w:rsidR="00D63660" w:rsidRDefault="00D63660" w:rsidP="00DC11A3"/>
    <w:p w:rsidR="00D63660" w:rsidRDefault="00D63660" w:rsidP="00DC11A3"/>
    <w:p w:rsidR="00627CAE" w:rsidRPr="00DC11A3" w:rsidRDefault="00627CAE" w:rsidP="00DC11A3">
      <w:pPr>
        <w:pStyle w:val="Ttulo1"/>
        <w:numPr>
          <w:ilvl w:val="0"/>
          <w:numId w:val="16"/>
        </w:numPr>
        <w:rPr>
          <w:rFonts w:ascii="Palatino Linotype" w:hAnsi="Palatino Linotype"/>
          <w:b/>
          <w:color w:val="auto"/>
          <w:sz w:val="24"/>
        </w:rPr>
      </w:pPr>
      <w:bookmarkStart w:id="0" w:name="_Toc521942226"/>
      <w:r w:rsidRPr="00DC11A3">
        <w:rPr>
          <w:rFonts w:ascii="Palatino Linotype" w:hAnsi="Palatino Linotype"/>
          <w:b/>
          <w:color w:val="auto"/>
          <w:sz w:val="24"/>
        </w:rPr>
        <w:lastRenderedPageBreak/>
        <w:t>Consideraciones generales.</w:t>
      </w:r>
      <w:bookmarkEnd w:id="0"/>
    </w:p>
    <w:p w:rsidR="00627CAE" w:rsidRPr="0037358E" w:rsidRDefault="00627CAE" w:rsidP="00627CAE">
      <w:pPr>
        <w:spacing w:after="0" w:line="360" w:lineRule="auto"/>
        <w:jc w:val="both"/>
        <w:rPr>
          <w:rFonts w:ascii="Palatino Linotype" w:hAnsi="Palatino Linotype" w:cs="Arial"/>
          <w:sz w:val="24"/>
          <w:szCs w:val="24"/>
        </w:rPr>
      </w:pPr>
    </w:p>
    <w:p w:rsidR="00627CAE" w:rsidRPr="0037358E" w:rsidRDefault="00627CAE" w:rsidP="00627CAE">
      <w:pPr>
        <w:pStyle w:val="Prrafodelista"/>
        <w:numPr>
          <w:ilvl w:val="0"/>
          <w:numId w:val="1"/>
        </w:numPr>
        <w:spacing w:after="0" w:line="360" w:lineRule="auto"/>
        <w:ind w:left="426"/>
        <w:jc w:val="both"/>
        <w:rPr>
          <w:rFonts w:ascii="Palatino Linotype" w:hAnsi="Palatino Linotype" w:cs="Arial"/>
          <w:sz w:val="24"/>
          <w:szCs w:val="24"/>
        </w:rPr>
      </w:pPr>
      <w:r w:rsidRPr="0037358E">
        <w:rPr>
          <w:rFonts w:ascii="Palatino Linotype" w:eastAsia="Times New Roman" w:hAnsi="Palatino Linotype" w:cs="Arial"/>
          <w:sz w:val="24"/>
          <w:szCs w:val="24"/>
          <w:lang w:val="es-ES_tradnl"/>
        </w:rPr>
        <w:t xml:space="preserve"> He concurrido con mi voto particular de la presente resolución emitida </w:t>
      </w:r>
      <w:r w:rsidRPr="0037358E">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011CA3">
        <w:rPr>
          <w:rFonts w:ascii="Palatino Linotype" w:hAnsi="Palatino Linotype" w:cs="Arial"/>
          <w:sz w:val="24"/>
          <w:szCs w:val="24"/>
        </w:rPr>
        <w:t>Vigésimo</w:t>
      </w:r>
      <w:r w:rsidR="004B6A69">
        <w:rPr>
          <w:rFonts w:ascii="Palatino Linotype" w:hAnsi="Palatino Linotype" w:cs="Arial"/>
          <w:sz w:val="24"/>
          <w:szCs w:val="24"/>
        </w:rPr>
        <w:t xml:space="preserve"> </w:t>
      </w:r>
      <w:r w:rsidR="00400EB2">
        <w:rPr>
          <w:rFonts w:ascii="Palatino Linotype" w:hAnsi="Palatino Linotype" w:cs="Arial"/>
          <w:sz w:val="24"/>
          <w:szCs w:val="24"/>
        </w:rPr>
        <w:t>Octava</w:t>
      </w:r>
      <w:r w:rsidRPr="0037358E">
        <w:rPr>
          <w:rFonts w:ascii="Palatino Linotype" w:hAnsi="Palatino Linotype" w:cs="Arial"/>
          <w:sz w:val="24"/>
          <w:szCs w:val="24"/>
        </w:rPr>
        <w:t xml:space="preserve"> sesión ordinaria llevada a cabo el </w:t>
      </w:r>
      <w:r w:rsidR="00011CA3">
        <w:rPr>
          <w:rFonts w:ascii="Palatino Linotype" w:hAnsi="Palatino Linotype" w:cs="Arial"/>
          <w:sz w:val="24"/>
          <w:szCs w:val="24"/>
        </w:rPr>
        <w:t>ocho</w:t>
      </w:r>
      <w:r w:rsidRPr="0037358E">
        <w:rPr>
          <w:rFonts w:ascii="Palatino Linotype" w:hAnsi="Palatino Linotype" w:cs="Arial"/>
          <w:sz w:val="24"/>
          <w:szCs w:val="24"/>
        </w:rPr>
        <w:t xml:space="preserve"> (</w:t>
      </w:r>
      <w:r w:rsidR="00011CA3">
        <w:rPr>
          <w:rFonts w:ascii="Palatino Linotype" w:hAnsi="Palatino Linotype" w:cs="Arial"/>
          <w:sz w:val="24"/>
          <w:szCs w:val="24"/>
        </w:rPr>
        <w:t>08</w:t>
      </w:r>
      <w:r w:rsidRPr="0037358E">
        <w:rPr>
          <w:rFonts w:ascii="Palatino Linotype" w:hAnsi="Palatino Linotype" w:cs="Arial"/>
          <w:sz w:val="24"/>
          <w:szCs w:val="24"/>
        </w:rPr>
        <w:t xml:space="preserve">) de </w:t>
      </w:r>
      <w:r w:rsidR="00011CA3">
        <w:rPr>
          <w:rFonts w:ascii="Palatino Linotype" w:hAnsi="Palatino Linotype" w:cs="Arial"/>
          <w:sz w:val="24"/>
          <w:szCs w:val="24"/>
        </w:rPr>
        <w:t>agosto</w:t>
      </w:r>
      <w:r w:rsidRPr="0037358E">
        <w:rPr>
          <w:rFonts w:ascii="Palatino Linotype" w:hAnsi="Palatino Linotype" w:cs="Arial"/>
          <w:sz w:val="24"/>
          <w:szCs w:val="24"/>
        </w:rPr>
        <w:t xml:space="preserve"> del año en curso, en el recurso de revisión promovido por</w:t>
      </w:r>
      <w:r w:rsidR="00F358B6">
        <w:rPr>
          <w:rFonts w:ascii="Palatino Linotype" w:hAnsi="Palatino Linotype" w:cs="Arial"/>
          <w:sz w:val="24"/>
          <w:szCs w:val="24"/>
        </w:rPr>
        <w:t xml:space="preserve"> xxxxxxx</w:t>
      </w:r>
      <w:bookmarkStart w:id="1" w:name="_GoBack"/>
      <w:bookmarkEnd w:id="1"/>
      <w:r w:rsidR="00400EB2">
        <w:rPr>
          <w:rFonts w:ascii="Palatino Linotype" w:hAnsi="Palatino Linotype" w:cs="Arial"/>
          <w:b/>
          <w:sz w:val="24"/>
          <w:szCs w:val="24"/>
        </w:rPr>
        <w:t xml:space="preserve">, </w:t>
      </w:r>
      <w:r w:rsidRPr="0037358E">
        <w:rPr>
          <w:rFonts w:ascii="Palatino Linotype" w:hAnsi="Palatino Linotype" w:cs="Arial"/>
          <w:sz w:val="24"/>
          <w:szCs w:val="24"/>
        </w:rPr>
        <w:t>en contra de la</w:t>
      </w:r>
      <w:r>
        <w:rPr>
          <w:rFonts w:ascii="Palatino Linotype" w:hAnsi="Palatino Linotype" w:cs="Arial"/>
          <w:sz w:val="24"/>
          <w:szCs w:val="24"/>
        </w:rPr>
        <w:t xml:space="preserve"> respuesta</w:t>
      </w:r>
      <w:r w:rsidRPr="0037358E">
        <w:rPr>
          <w:rFonts w:ascii="Palatino Linotype" w:hAnsi="Palatino Linotype" w:cs="Arial"/>
          <w:sz w:val="24"/>
          <w:szCs w:val="24"/>
        </w:rPr>
        <w:t xml:space="preserve"> del </w:t>
      </w:r>
      <w:r w:rsidRPr="004B6A69">
        <w:rPr>
          <w:rFonts w:ascii="Palatino Linotype" w:hAnsi="Palatino Linotype" w:cs="Arial"/>
          <w:b/>
          <w:sz w:val="24"/>
          <w:szCs w:val="24"/>
        </w:rPr>
        <w:t xml:space="preserve">Sindicato </w:t>
      </w:r>
      <w:r w:rsidR="004B6A69" w:rsidRPr="004B6A69">
        <w:rPr>
          <w:rFonts w:ascii="Palatino Linotype" w:hAnsi="Palatino Linotype" w:cs="Arial"/>
          <w:b/>
          <w:sz w:val="24"/>
          <w:szCs w:val="24"/>
        </w:rPr>
        <w:t>Único de Trabajadores de los Poderes, Municipios e Instituciones Descentralizadas del Estado de México</w:t>
      </w:r>
      <w:r w:rsidR="004B6A69">
        <w:rPr>
          <w:rFonts w:ascii="Palatino Linotype" w:hAnsi="Palatino Linotype" w:cs="Arial"/>
          <w:sz w:val="24"/>
          <w:szCs w:val="24"/>
        </w:rPr>
        <w:t>,</w:t>
      </w:r>
      <w:r w:rsidRPr="0037358E">
        <w:rPr>
          <w:rFonts w:ascii="Palatino Linotype" w:hAnsi="Palatino Linotype" w:cs="Arial"/>
          <w:sz w:val="24"/>
          <w:szCs w:val="24"/>
        </w:rPr>
        <w:t xml:space="preserve"> procedimiento al que se le </w:t>
      </w:r>
      <w:r w:rsidR="004B6A69">
        <w:rPr>
          <w:rFonts w:ascii="Palatino Linotype" w:hAnsi="Palatino Linotype" w:cs="Arial"/>
          <w:sz w:val="24"/>
          <w:szCs w:val="24"/>
        </w:rPr>
        <w:t>asignó el número de expediente</w:t>
      </w:r>
      <w:r w:rsidRPr="0037358E">
        <w:rPr>
          <w:rFonts w:ascii="Palatino Linotype" w:hAnsi="Palatino Linotype" w:cs="Arial"/>
          <w:sz w:val="24"/>
          <w:szCs w:val="24"/>
        </w:rPr>
        <w:t xml:space="preserve"> señalado</w:t>
      </w:r>
      <w:r w:rsidR="004B6A69">
        <w:rPr>
          <w:rFonts w:ascii="Palatino Linotype" w:hAnsi="Palatino Linotype" w:cs="Arial"/>
          <w:sz w:val="24"/>
          <w:szCs w:val="24"/>
        </w:rPr>
        <w:t xml:space="preserve"> al rubro</w:t>
      </w:r>
      <w:r w:rsidRPr="0037358E">
        <w:rPr>
          <w:rFonts w:ascii="Palatino Linotype" w:hAnsi="Palatino Linotype" w:cs="Arial"/>
          <w:sz w:val="24"/>
          <w:szCs w:val="24"/>
        </w:rPr>
        <w:t>.</w:t>
      </w:r>
    </w:p>
    <w:p w:rsidR="00627CAE" w:rsidRPr="0037358E" w:rsidRDefault="00627CAE" w:rsidP="00627CAE">
      <w:pPr>
        <w:pStyle w:val="Prrafodelista"/>
        <w:spacing w:after="0" w:line="360" w:lineRule="auto"/>
        <w:ind w:left="0"/>
        <w:jc w:val="both"/>
        <w:rPr>
          <w:rFonts w:ascii="Palatino Linotype" w:hAnsi="Palatino Linotype" w:cs="Arial"/>
          <w:sz w:val="24"/>
          <w:szCs w:val="24"/>
        </w:rPr>
      </w:pPr>
    </w:p>
    <w:p w:rsidR="00627CAE" w:rsidRPr="00400EB2" w:rsidRDefault="00627CAE" w:rsidP="002473D2">
      <w:pPr>
        <w:pStyle w:val="Prrafodelista"/>
        <w:numPr>
          <w:ilvl w:val="0"/>
          <w:numId w:val="1"/>
        </w:numPr>
        <w:spacing w:before="240" w:after="240" w:line="360" w:lineRule="auto"/>
        <w:ind w:left="426"/>
        <w:jc w:val="both"/>
        <w:rPr>
          <w:rFonts w:ascii="Palatino Linotype" w:hAnsi="Palatino Linotype" w:cs="Arial"/>
          <w:sz w:val="24"/>
          <w:szCs w:val="24"/>
        </w:rPr>
      </w:pPr>
      <w:r w:rsidRPr="00400EB2">
        <w:rPr>
          <w:rFonts w:ascii="Palatino Linotype" w:hAnsi="Palatino Linotype" w:cs="Arial"/>
          <w:sz w:val="24"/>
          <w:szCs w:val="24"/>
        </w:rPr>
        <w:t xml:space="preserve"> La resolución </w:t>
      </w:r>
      <w:r w:rsidR="00400EB2" w:rsidRPr="00400EB2">
        <w:rPr>
          <w:rFonts w:ascii="Palatino Linotype" w:hAnsi="Palatino Linotype" w:cs="Arial"/>
          <w:sz w:val="24"/>
          <w:szCs w:val="24"/>
        </w:rPr>
        <w:t xml:space="preserve">puntualmente determina </w:t>
      </w:r>
      <w:r w:rsidR="00E452A1">
        <w:rPr>
          <w:rFonts w:ascii="Palatino Linotype" w:hAnsi="Palatino Linotype" w:cs="Arial"/>
          <w:b/>
          <w:sz w:val="24"/>
          <w:szCs w:val="24"/>
        </w:rPr>
        <w:t>MODIFICAR</w:t>
      </w:r>
      <w:r w:rsidR="00550FAF" w:rsidRPr="00400EB2">
        <w:rPr>
          <w:rFonts w:ascii="Palatino Linotype" w:hAnsi="Palatino Linotype" w:cs="Arial"/>
          <w:sz w:val="24"/>
          <w:szCs w:val="24"/>
        </w:rPr>
        <w:t xml:space="preserve"> </w:t>
      </w:r>
      <w:r w:rsidR="00400EB2" w:rsidRPr="00400EB2">
        <w:rPr>
          <w:rFonts w:ascii="Palatino Linotype" w:hAnsi="Palatino Linotype" w:cs="Arial"/>
          <w:sz w:val="24"/>
          <w:szCs w:val="24"/>
        </w:rPr>
        <w:t xml:space="preserve">el recurso de revisión </w:t>
      </w:r>
      <w:r w:rsidR="00E452A1">
        <w:rPr>
          <w:rFonts w:ascii="Palatino Linotype" w:hAnsi="Palatino Linotype" w:cs="Arial"/>
          <w:b/>
          <w:sz w:val="24"/>
          <w:szCs w:val="24"/>
        </w:rPr>
        <w:t>01871</w:t>
      </w:r>
      <w:r w:rsidR="00400EB2">
        <w:rPr>
          <w:rFonts w:ascii="Palatino Linotype" w:hAnsi="Palatino Linotype" w:cs="Arial"/>
          <w:b/>
          <w:sz w:val="24"/>
          <w:szCs w:val="24"/>
        </w:rPr>
        <w:t>/INFOEM/IP/RR/2018</w:t>
      </w:r>
      <w:r w:rsidRPr="00400EB2">
        <w:rPr>
          <w:rFonts w:ascii="Palatino Linotype" w:eastAsia="Times New Roman" w:hAnsi="Palatino Linotype" w:cs="Arial"/>
          <w:sz w:val="24"/>
          <w:szCs w:val="24"/>
        </w:rPr>
        <w:t xml:space="preserve">. Y en su resolutivo </w:t>
      </w:r>
      <w:r w:rsidR="00E452A1">
        <w:rPr>
          <w:rFonts w:ascii="Palatino Linotype" w:eastAsia="Times New Roman" w:hAnsi="Palatino Linotype" w:cs="Arial"/>
          <w:sz w:val="24"/>
          <w:szCs w:val="24"/>
        </w:rPr>
        <w:t>Quinto</w:t>
      </w:r>
      <w:r w:rsidRPr="00400EB2">
        <w:rPr>
          <w:rFonts w:ascii="Palatino Linotype" w:eastAsia="Times New Roman" w:hAnsi="Palatino Linotype" w:cs="Arial"/>
          <w:sz w:val="24"/>
          <w:szCs w:val="24"/>
        </w:rPr>
        <w:t xml:space="preserve"> informa </w:t>
      </w:r>
      <w:r w:rsidR="00DC11A3" w:rsidRPr="00400EB2">
        <w:rPr>
          <w:rFonts w:ascii="Palatino Linotype" w:eastAsia="Times New Roman" w:hAnsi="Palatino Linotype" w:cs="Arial"/>
          <w:sz w:val="24"/>
          <w:szCs w:val="24"/>
        </w:rPr>
        <w:t>a</w:t>
      </w:r>
      <w:r w:rsidR="00E452A1">
        <w:rPr>
          <w:rFonts w:ascii="Palatino Linotype" w:eastAsia="Times New Roman" w:hAnsi="Palatino Linotype" w:cs="Arial"/>
          <w:sz w:val="24"/>
          <w:szCs w:val="24"/>
        </w:rPr>
        <w:t xml:space="preserve"> </w:t>
      </w:r>
      <w:r w:rsidR="00400EB2">
        <w:rPr>
          <w:rFonts w:ascii="Palatino Linotype" w:eastAsia="Times New Roman" w:hAnsi="Palatino Linotype" w:cs="Arial"/>
          <w:sz w:val="24"/>
          <w:szCs w:val="24"/>
        </w:rPr>
        <w:t>l</w:t>
      </w:r>
      <w:r w:rsidR="00E452A1">
        <w:rPr>
          <w:rFonts w:ascii="Palatino Linotype" w:eastAsia="Times New Roman" w:hAnsi="Palatino Linotype" w:cs="Arial"/>
          <w:sz w:val="24"/>
          <w:szCs w:val="24"/>
        </w:rPr>
        <w:t>a</w:t>
      </w:r>
      <w:r w:rsidR="00DC11A3" w:rsidRPr="00400EB2">
        <w:rPr>
          <w:rFonts w:ascii="Palatino Linotype" w:eastAsia="Times New Roman" w:hAnsi="Palatino Linotype" w:cs="Arial"/>
          <w:sz w:val="24"/>
          <w:szCs w:val="24"/>
        </w:rPr>
        <w:t xml:space="preserve"> </w:t>
      </w:r>
      <w:r w:rsidR="00E452A1">
        <w:rPr>
          <w:rFonts w:ascii="Palatino Linotype" w:eastAsia="Times New Roman" w:hAnsi="Palatino Linotype" w:cs="Arial"/>
          <w:b/>
          <w:sz w:val="24"/>
          <w:szCs w:val="24"/>
        </w:rPr>
        <w:t>RECURRENTE</w:t>
      </w:r>
      <w:r w:rsidR="002F6C44">
        <w:rPr>
          <w:rFonts w:ascii="Palatino Linotype" w:eastAsia="Times New Roman" w:hAnsi="Palatino Linotype" w:cs="Arial"/>
          <w:sz w:val="24"/>
          <w:szCs w:val="24"/>
        </w:rPr>
        <w:t xml:space="preserve"> que, </w:t>
      </w:r>
      <w:r w:rsidRPr="00400EB2">
        <w:rPr>
          <w:rFonts w:ascii="Palatino Linotype" w:eastAsia="Times New Roman" w:hAnsi="Palatino Linotype" w:cs="Arial"/>
          <w:sz w:val="24"/>
          <w:szCs w:val="24"/>
        </w:rPr>
        <w:t>“</w:t>
      </w:r>
      <w:r w:rsidR="00550FAF">
        <w:rPr>
          <w:rFonts w:ascii="Palatino Linotype" w:eastAsia="Times New Roman" w:hAnsi="Palatino Linotype" w:cs="Arial"/>
          <w:sz w:val="24"/>
          <w:szCs w:val="24"/>
        </w:rPr>
        <w:t xml:space="preserve">(…) </w:t>
      </w:r>
      <w:r w:rsidR="002F6C44" w:rsidRPr="002F6C44">
        <w:rPr>
          <w:rFonts w:ascii="Palatino Linotype" w:eastAsia="Times New Roman" w:hAnsi="Palatino Linotype" w:cs="Arial"/>
          <w:sz w:val="24"/>
          <w:szCs w:val="24"/>
        </w:rPr>
        <w:t xml:space="preserve">de conformidad con lo establecido en el artículo 196 de la Ley de Transparencia y Acceso a la Información Pública del Estado de México y Municipios, podrá </w:t>
      </w:r>
      <w:r w:rsidR="00E452A1">
        <w:rPr>
          <w:rFonts w:ascii="Palatino Linotype" w:eastAsia="Times New Roman" w:hAnsi="Palatino Linotype" w:cs="Arial"/>
          <w:sz w:val="24"/>
          <w:szCs w:val="24"/>
        </w:rPr>
        <w:t>promover el</w:t>
      </w:r>
      <w:r w:rsidR="002F6C44" w:rsidRPr="002F6C44">
        <w:rPr>
          <w:rFonts w:ascii="Palatino Linotype" w:eastAsia="Times New Roman" w:hAnsi="Palatino Linotype" w:cs="Arial"/>
          <w:sz w:val="24"/>
          <w:szCs w:val="24"/>
        </w:rPr>
        <w:t xml:space="preserve"> Juicio de Amparo</w:t>
      </w:r>
      <w:r w:rsidR="00550FAF">
        <w:rPr>
          <w:rFonts w:ascii="Palatino Linotype" w:eastAsia="Times New Roman" w:hAnsi="Palatino Linotype" w:cs="Arial"/>
          <w:sz w:val="24"/>
          <w:szCs w:val="24"/>
        </w:rPr>
        <w:t xml:space="preserve"> (…)</w:t>
      </w:r>
      <w:r w:rsidRPr="00400EB2">
        <w:rPr>
          <w:rFonts w:ascii="Palatino Linotype" w:eastAsia="Times New Roman" w:hAnsi="Palatino Linotype" w:cs="Arial"/>
          <w:sz w:val="24"/>
          <w:szCs w:val="24"/>
        </w:rPr>
        <w:t>”</w:t>
      </w:r>
      <w:r w:rsidRPr="00400EB2">
        <w:rPr>
          <w:rFonts w:ascii="Palatino Linotype" w:hAnsi="Palatino Linotype" w:cs="Arial"/>
          <w:sz w:val="24"/>
          <w:szCs w:val="24"/>
        </w:rPr>
        <w:t xml:space="preserve">. Sobre dicho resolutivo es que me aparto </w:t>
      </w:r>
      <w:r w:rsidR="003416F2" w:rsidRPr="00400EB2">
        <w:rPr>
          <w:rFonts w:ascii="Palatino Linotype" w:hAnsi="Palatino Linotype" w:cs="Arial"/>
          <w:sz w:val="24"/>
          <w:szCs w:val="24"/>
        </w:rPr>
        <w:t>del resto de mis compañero</w:t>
      </w:r>
      <w:r w:rsidR="00E452A1">
        <w:rPr>
          <w:rFonts w:ascii="Palatino Linotype" w:hAnsi="Palatino Linotype" w:cs="Arial"/>
          <w:sz w:val="24"/>
          <w:szCs w:val="24"/>
        </w:rPr>
        <w:t>s C</w:t>
      </w:r>
      <w:r w:rsidR="002F6C44">
        <w:rPr>
          <w:rFonts w:ascii="Palatino Linotype" w:hAnsi="Palatino Linotype" w:cs="Arial"/>
          <w:sz w:val="24"/>
          <w:szCs w:val="24"/>
        </w:rPr>
        <w:t>omisionados integrantes del P</w:t>
      </w:r>
      <w:r w:rsidR="003416F2" w:rsidRPr="00400EB2">
        <w:rPr>
          <w:rFonts w:ascii="Palatino Linotype" w:hAnsi="Palatino Linotype" w:cs="Arial"/>
          <w:sz w:val="24"/>
          <w:szCs w:val="24"/>
        </w:rPr>
        <w:t xml:space="preserve">leno, </w:t>
      </w:r>
      <w:r w:rsidRPr="00400EB2">
        <w:rPr>
          <w:rFonts w:ascii="Palatino Linotype" w:hAnsi="Palatino Linotype" w:cs="Arial"/>
          <w:sz w:val="24"/>
          <w:szCs w:val="24"/>
        </w:rPr>
        <w:t xml:space="preserve">ya que si bien esa fórmula es generalmente empleada en las resoluciones, resulta ser una decisión inadecuada para el presente caso en particular. </w:t>
      </w:r>
    </w:p>
    <w:p w:rsidR="00627CAE" w:rsidRPr="002E0BA4" w:rsidRDefault="00627CAE" w:rsidP="00627CAE">
      <w:pPr>
        <w:pStyle w:val="Prrafodelista"/>
        <w:rPr>
          <w:rFonts w:ascii="Palatino Linotype" w:hAnsi="Palatino Linotype" w:cs="Arial"/>
          <w:sz w:val="24"/>
          <w:szCs w:val="24"/>
        </w:rPr>
      </w:pPr>
    </w:p>
    <w:p w:rsidR="00627CAE"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37358E">
        <w:rPr>
          <w:rFonts w:ascii="Palatino Linotype" w:hAnsi="Palatino Linotype" w:cs="Arial"/>
          <w:sz w:val="24"/>
          <w:szCs w:val="24"/>
        </w:rPr>
        <w:lastRenderedPageBreak/>
        <w:t xml:space="preserve"> Por tal motivo y en términos de lo </w:t>
      </w:r>
      <w:r>
        <w:rPr>
          <w:rFonts w:ascii="Palatino Linotype" w:hAnsi="Palatino Linotype" w:cs="Arial"/>
          <w:sz w:val="24"/>
          <w:szCs w:val="24"/>
        </w:rPr>
        <w:t xml:space="preserve">señalado en el artículo 14 fracción XI </w:t>
      </w:r>
      <w:r w:rsidRPr="0037358E">
        <w:rPr>
          <w:rFonts w:ascii="Palatino Linotype" w:hAnsi="Palatino Linotype" w:cs="Arial"/>
          <w:sz w:val="24"/>
          <w:szCs w:val="24"/>
        </w:rPr>
        <w:t xml:space="preserve">del Reglamento Interior del Instituto de Transparencia y Acceso a la Información Pública del Estado de México y Municipios formulo el presente voto particular. </w:t>
      </w:r>
    </w:p>
    <w:p w:rsidR="003416F2" w:rsidRPr="003416F2" w:rsidRDefault="003416F2" w:rsidP="003416F2">
      <w:pPr>
        <w:pStyle w:val="Prrafodelista"/>
        <w:rPr>
          <w:rFonts w:ascii="Palatino Linotype" w:hAnsi="Palatino Linotype" w:cs="Arial"/>
          <w:sz w:val="24"/>
          <w:szCs w:val="24"/>
        </w:rPr>
      </w:pPr>
    </w:p>
    <w:p w:rsidR="00627CAE" w:rsidRPr="00DC11A3" w:rsidRDefault="00627CAE" w:rsidP="00DC11A3">
      <w:pPr>
        <w:pStyle w:val="Ttulo1"/>
        <w:numPr>
          <w:ilvl w:val="0"/>
          <w:numId w:val="16"/>
        </w:numPr>
        <w:rPr>
          <w:rFonts w:ascii="Palatino Linotype" w:hAnsi="Palatino Linotype"/>
          <w:b/>
          <w:color w:val="auto"/>
          <w:sz w:val="24"/>
        </w:rPr>
      </w:pPr>
      <w:bookmarkStart w:id="2" w:name="_Toc521942227"/>
      <w:r w:rsidRPr="00DC11A3">
        <w:rPr>
          <w:rFonts w:ascii="Palatino Linotype" w:hAnsi="Palatino Linotype"/>
          <w:b/>
          <w:color w:val="auto"/>
          <w:sz w:val="24"/>
        </w:rPr>
        <w:t>La condición de definitividad de las resoluciones de los órganos garantes del derecho de acceso a la información pública.</w:t>
      </w:r>
      <w:bookmarkEnd w:id="2"/>
      <w:r w:rsidRPr="00DC11A3">
        <w:rPr>
          <w:rFonts w:ascii="Palatino Linotype" w:hAnsi="Palatino Linotype"/>
          <w:b/>
          <w:color w:val="auto"/>
          <w:sz w:val="24"/>
        </w:rPr>
        <w:t xml:space="preserve"> </w:t>
      </w:r>
    </w:p>
    <w:p w:rsidR="00627CAE" w:rsidRPr="0037358E" w:rsidRDefault="00627CAE" w:rsidP="00627CAE">
      <w:pPr>
        <w:spacing w:after="0" w:line="360" w:lineRule="auto"/>
        <w:jc w:val="both"/>
        <w:rPr>
          <w:rFonts w:ascii="Palatino Linotype" w:hAnsi="Palatino Linotype" w:cs="Arial"/>
          <w:sz w:val="24"/>
          <w:szCs w:val="24"/>
        </w:rPr>
      </w:pPr>
    </w:p>
    <w:p w:rsidR="00627CAE" w:rsidRPr="0037358E"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37358E">
        <w:rPr>
          <w:rFonts w:ascii="Palatino Linotype" w:hAnsi="Palatino Linotype" w:cs="Arial"/>
          <w:sz w:val="24"/>
          <w:szCs w:val="24"/>
        </w:rPr>
        <w:t>El séptimo párrafo de la fracción VIII del artículo sexto de la Constitución Política de los Estados Uni</w:t>
      </w:r>
      <w:r>
        <w:rPr>
          <w:rFonts w:ascii="Palatino Linotype" w:hAnsi="Palatino Linotype" w:cs="Arial"/>
          <w:sz w:val="24"/>
          <w:szCs w:val="24"/>
        </w:rPr>
        <w:t>dos Mexicanos establece que “l</w:t>
      </w:r>
      <w:r w:rsidRPr="0037358E">
        <w:rPr>
          <w:rFonts w:ascii="Palatino Linotype" w:hAnsi="Palatino Linotype" w:cs="Arial"/>
          <w:sz w:val="24"/>
          <w:szCs w:val="24"/>
        </w:rPr>
        <w:t xml:space="preserve">as resoluciones del organismo garante son vinculatorias, definitivas e inatacables para los sujetos obligados”. Lo mismo se señala en el caso del artículo quinto de la Constitución Política del Estado Libre y Soberano de México. Precepto constitucional que informa y determina el contenido del artículo 157 de la Ley General de Transparencia y Acceso a la Información Pública y del artículo 119 de la Ley de Transparencia y Acceso a la Información Pública del Estado de México. </w:t>
      </w:r>
    </w:p>
    <w:p w:rsidR="00627CAE" w:rsidRPr="0037358E" w:rsidRDefault="00627CAE" w:rsidP="00627CAE">
      <w:pPr>
        <w:pStyle w:val="Prrafodelista"/>
        <w:spacing w:before="240" w:after="240" w:line="360" w:lineRule="auto"/>
        <w:ind w:left="0"/>
        <w:jc w:val="both"/>
        <w:rPr>
          <w:rFonts w:ascii="Palatino Linotype" w:hAnsi="Palatino Linotype" w:cs="Arial"/>
          <w:sz w:val="24"/>
          <w:szCs w:val="24"/>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En otras oportunidades he señalado que esa condición de definitividad propicia que cuando las resoluciones qu</w:t>
      </w:r>
      <w:r w:rsidR="00AE23AA">
        <w:rPr>
          <w:rFonts w:ascii="Palatino Linotype" w:hAnsi="Palatino Linotype" w:cs="Arial"/>
          <w:sz w:val="24"/>
          <w:szCs w:val="24"/>
        </w:rPr>
        <w:t>e emitimos otorgan la razón al r</w:t>
      </w:r>
      <w:r w:rsidRPr="0037358E">
        <w:rPr>
          <w:rFonts w:ascii="Palatino Linotype" w:hAnsi="Palatino Linotype" w:cs="Arial"/>
          <w:sz w:val="24"/>
          <w:szCs w:val="24"/>
        </w:rPr>
        <w:t xml:space="preserve">ecurrente en la totalidad de sus pretensiones, ordenando la entrega de la información requerida y en la modalidad de entrega por él seleccionadas; o bien, en aquellas que determinan alguna diferencia con lo planteado por la persona pero que no son impugnadas, en ambos casos, nuestras resoluciones adquieren la condición de </w:t>
      </w:r>
      <w:r w:rsidRPr="0037358E">
        <w:rPr>
          <w:rFonts w:ascii="Palatino Linotype" w:hAnsi="Palatino Linotype" w:cs="Arial"/>
          <w:sz w:val="24"/>
          <w:szCs w:val="24"/>
        </w:rPr>
        <w:lastRenderedPageBreak/>
        <w:t>decisión adoptada por órgano límite constitucional,</w:t>
      </w:r>
      <w:r w:rsidRPr="0037358E">
        <w:rPr>
          <w:rStyle w:val="Refdenotaalpie"/>
          <w:rFonts w:ascii="Palatino Linotype" w:hAnsi="Palatino Linotype" w:cs="Arial"/>
          <w:sz w:val="24"/>
          <w:szCs w:val="24"/>
        </w:rPr>
        <w:footnoteReference w:id="1"/>
      </w:r>
      <w:r w:rsidRPr="0037358E">
        <w:rPr>
          <w:rFonts w:ascii="Palatino Linotype" w:hAnsi="Palatino Linotype" w:cs="Arial"/>
          <w:sz w:val="24"/>
          <w:szCs w:val="24"/>
        </w:rPr>
        <w:t xml:space="preserve"> ya que el </w:t>
      </w:r>
      <w:r w:rsidR="00550FAF" w:rsidRPr="00550FAF">
        <w:rPr>
          <w:rFonts w:ascii="Palatino Linotype" w:hAnsi="Palatino Linotype" w:cs="Arial"/>
          <w:b/>
          <w:sz w:val="24"/>
          <w:szCs w:val="24"/>
        </w:rPr>
        <w:t xml:space="preserve">SUJETO OBLIGADO </w:t>
      </w:r>
      <w:r w:rsidRPr="0037358E">
        <w:rPr>
          <w:rFonts w:ascii="Palatino Linotype" w:hAnsi="Palatino Linotype" w:cs="Arial"/>
          <w:sz w:val="24"/>
          <w:szCs w:val="24"/>
        </w:rPr>
        <w:t xml:space="preserve">no puede impugnar la determinación adoptada y, en consecuencia, se encuentra obligado a dar total cumplimiento a lo ordenado. </w:t>
      </w:r>
    </w:p>
    <w:p w:rsidR="00627CAE" w:rsidRPr="0037358E" w:rsidRDefault="00627CAE" w:rsidP="00627CAE">
      <w:pPr>
        <w:pStyle w:val="Prrafodelista"/>
        <w:rPr>
          <w:rFonts w:ascii="Palatino Linotype" w:hAnsi="Palatino Linotype" w:cs="Arial"/>
          <w:sz w:val="24"/>
          <w:szCs w:val="24"/>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Ese diseño constitucional y esa fuerza de nuestras resoluciones es lo que permite que el Estado Mexicano cumpla con sus compromisos internacionales estableciendo un procedimiento expedito, sencillo y efectivo para reparar las posibles afectaciones al derecho humano de acceso a la información pública, provocadas por alguna deficiencia en las respuestas de los sujetos obligados y por la falta de ésta, con ello, el recurso de revisión cumple con su naturaleza como la garantía secundaria que provoca la reparación del derecho afectado.  </w:t>
      </w:r>
    </w:p>
    <w:p w:rsidR="00627CAE" w:rsidRPr="00F7738C" w:rsidRDefault="00627CAE" w:rsidP="00627CAE">
      <w:pPr>
        <w:pStyle w:val="Prrafodelista"/>
        <w:rPr>
          <w:rFonts w:ascii="Palatino Linotype" w:hAnsi="Palatino Linotype" w:cs="Arial"/>
          <w:color w:val="000000" w:themeColor="text1"/>
          <w:sz w:val="24"/>
          <w:szCs w:val="24"/>
          <w:lang w:val="es-ES"/>
        </w:rPr>
      </w:pPr>
    </w:p>
    <w:p w:rsidR="00627CAE" w:rsidRPr="00F7738C"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F7738C">
        <w:rPr>
          <w:rFonts w:ascii="Palatino Linotype" w:hAnsi="Palatino Linotype" w:cs="Arial"/>
          <w:color w:val="000000" w:themeColor="text1"/>
          <w:sz w:val="24"/>
          <w:szCs w:val="24"/>
          <w:lang w:val="es-ES"/>
        </w:rPr>
        <w:t xml:space="preserve">Es así que Pedro Salazar Ugarte ha señalado respecto al tema tomando como ejemplo las resoluciones del Instituto Nacional de Transparencia, Acceso a la Información Pública y Protección de Datos Personales (INAI) antes IFAI  este tema  lo siguiente: </w:t>
      </w:r>
    </w:p>
    <w:p w:rsidR="00627CAE" w:rsidRPr="00F7738C" w:rsidRDefault="00627CAE" w:rsidP="00627CAE">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“El esquema se ciñe al marco teórico para la garantía de cualquier derecho fundamental: un sujeto con una pretensión normativamente justificada exige a un sujeto obligado (en este caso una autoridad gubernamental) que la satisfaga. En caso </w:t>
      </w:r>
      <w:r w:rsidRPr="00F7738C">
        <w:rPr>
          <w:rFonts w:ascii="Palatino Linotype" w:hAnsi="Palatino Linotype" w:cs="Arial"/>
          <w:i/>
          <w:color w:val="000000" w:themeColor="text1"/>
          <w:lang w:val="es-ES"/>
        </w:rPr>
        <w:lastRenderedPageBreak/>
        <w:t xml:space="preserve">de incumpliendo, entonces, se activa la intervención de un órgano garante  (IFAI) que asegure la protección de derecho en cuestión. Un esquema clásico: derechos, obligaciones y garantías. </w:t>
      </w:r>
    </w:p>
    <w:p w:rsidR="00627CAE" w:rsidRPr="00F7738C" w:rsidRDefault="00627CAE" w:rsidP="00627CAE">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El punto más relevante es que esas decisiones eran vinculatorias y definitivas para las autoridades ya que no existían  vías legales para recurrirlas. Pero la regla no operaba igual para las personas titulares del derecho. Estas, cuando las resoluciones les eran desfavorables, podían combatirlas ante la justicia ordinaria. En estos supuestos, el IFAI era un órgano de garantía pero no de última instancia.</w:t>
      </w:r>
    </w:p>
    <w:p w:rsidR="00627CAE" w:rsidRPr="00F7738C" w:rsidRDefault="00627CAE" w:rsidP="00627CAE">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Básicamente, se determinó que el IFAI sería una autoridad nacional, con plena autonomía constitucional y competente frente a un conjunto de autoridades, entidades y sujetos que antes escapaban de su competencia.  Además, se determinó constitucionalmente de manera expresa el carácter definitivo e inatacable de sus resoluciones. </w:t>
      </w:r>
    </w:p>
    <w:p w:rsidR="00627CAE" w:rsidRPr="00F7738C" w:rsidRDefault="00627CAE" w:rsidP="00627CAE">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Ahora la Constitución es clara en el sentido de que éstas tendrán un carácter vinculatorio, definitivo e inatacable, salvo en un supuesto especifico que tiene que ver con la seguridad nacional y que activa un procedimiento especial.”</w:t>
      </w:r>
      <w:r>
        <w:rPr>
          <w:rStyle w:val="Refdenotaalpie"/>
          <w:rFonts w:ascii="Palatino Linotype" w:hAnsi="Palatino Linotype" w:cs="Arial"/>
          <w:i/>
          <w:color w:val="000000" w:themeColor="text1"/>
          <w:lang w:val="es-ES"/>
        </w:rPr>
        <w:footnoteReference w:id="2"/>
      </w: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Hasta este momento, nadie duda que ese es el efecto que la disposición constitucional y legal procura al determinar la definitividad de nuestras resoluciones en el caso de los Sujetos Obligados. Pero el caso que se resuelve en </w:t>
      </w:r>
      <w:r w:rsidRPr="0037358E">
        <w:rPr>
          <w:rFonts w:ascii="Palatino Linotype" w:hAnsi="Palatino Linotype" w:cs="Arial"/>
          <w:sz w:val="24"/>
          <w:szCs w:val="24"/>
        </w:rPr>
        <w:lastRenderedPageBreak/>
        <w:t>esta ocasión, nos obliga a considerar algunos elementos que demandan un especial análisis.</w:t>
      </w:r>
    </w:p>
    <w:p w:rsidR="00627CAE" w:rsidRPr="0037358E" w:rsidRDefault="00627CAE" w:rsidP="00627CAE">
      <w:pPr>
        <w:pStyle w:val="Prrafodelista"/>
        <w:spacing w:before="240" w:after="0" w:line="360" w:lineRule="auto"/>
        <w:ind w:left="0"/>
        <w:jc w:val="both"/>
        <w:rPr>
          <w:rFonts w:ascii="Palatino Linotype" w:hAnsi="Palatino Linotype" w:cs="Arial"/>
          <w:sz w:val="24"/>
          <w:szCs w:val="24"/>
        </w:rPr>
      </w:pPr>
    </w:p>
    <w:p w:rsidR="00627CAE" w:rsidRPr="00DC11A3" w:rsidRDefault="00627CAE" w:rsidP="00DC11A3">
      <w:pPr>
        <w:pStyle w:val="Ttulo1"/>
        <w:numPr>
          <w:ilvl w:val="0"/>
          <w:numId w:val="16"/>
        </w:numPr>
        <w:rPr>
          <w:rFonts w:ascii="Palatino Linotype" w:hAnsi="Palatino Linotype"/>
          <w:b/>
          <w:color w:val="auto"/>
          <w:sz w:val="24"/>
          <w:lang w:val="es-ES"/>
        </w:rPr>
      </w:pPr>
      <w:bookmarkStart w:id="3" w:name="_Toc521942228"/>
      <w:r w:rsidRPr="00DC11A3">
        <w:rPr>
          <w:rFonts w:ascii="Palatino Linotype" w:hAnsi="Palatino Linotype"/>
          <w:b/>
          <w:color w:val="auto"/>
          <w:sz w:val="24"/>
          <w:lang w:val="es-ES"/>
        </w:rPr>
        <w:t>La naturaleza de los Sujetos Obligados.</w:t>
      </w:r>
      <w:bookmarkEnd w:id="3"/>
    </w:p>
    <w:p w:rsidR="00627CAE" w:rsidRPr="0037358E" w:rsidRDefault="00627CAE" w:rsidP="00627CAE">
      <w:pPr>
        <w:spacing w:line="276" w:lineRule="auto"/>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Una de las características más importantes de la reforma constitucional de febrero de 2014 en materia de transparencia y acceso a la información consistió en la ampliación del catálogo de sujetos obligados. No sólo se describió, con mayor detalle, las diferentes instancias de los tres órdenes de gobierno, sino que, además, se incluyeron figuras que no habían sido consideradas antes, los siempre escurridizos partidos políticos, que a pesar de sus resistencias, se encuentran más cercanos que cualquier otro sujeto obligado, a la condición de entidad pública, por su naturaleza como entidades de interés público y porque sus actividades se financian mayoritariamente con recursos públicos.</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w:t>
      </w: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Y junto con las instituciones públicas, se reconocieron como sujetos obligados a distintas personas: las físicas y las morales, entre ellas los sindicatos, siempre y cuando reciban y ejerzan recursos públicos o realicen actos de autoridad. Y es precisamente esta condición común, la naturaleza de personas, lo que nos provoca un problema de relevancia jurídica sobre el cual este Órgano Garante se encuentra obligado a pronunciarse. </w:t>
      </w:r>
    </w:p>
    <w:p w:rsidR="00627CAE" w:rsidRPr="0037358E" w:rsidRDefault="00627CAE" w:rsidP="00627CAE">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i/>
          <w:color w:val="000000" w:themeColor="text1"/>
          <w:sz w:val="24"/>
          <w:szCs w:val="24"/>
          <w:lang w:val="es-ES"/>
        </w:rPr>
      </w:pPr>
      <w:r w:rsidRPr="0037358E">
        <w:rPr>
          <w:rFonts w:ascii="Palatino Linotype" w:hAnsi="Palatino Linotype" w:cs="Arial"/>
          <w:color w:val="000000" w:themeColor="text1"/>
          <w:sz w:val="24"/>
          <w:szCs w:val="24"/>
          <w:lang w:val="es-ES"/>
        </w:rPr>
        <w:lastRenderedPageBreak/>
        <w:t xml:space="preserve">Se tiene que persona </w:t>
      </w:r>
      <w:r w:rsidRPr="0037358E">
        <w:rPr>
          <w:rFonts w:ascii="Palatino Linotype" w:hAnsi="Palatino Linotype" w:cs="Arial"/>
          <w:i/>
          <w:color w:val="000000" w:themeColor="text1"/>
          <w:sz w:val="24"/>
          <w:szCs w:val="24"/>
          <w:lang w:val="es-ES"/>
        </w:rPr>
        <w:t>es “ 1. f. Individuo de la especie humana. 2. f. Hombre o mujer cuyo nombre se ignora o se omite….”</w:t>
      </w:r>
      <w:r w:rsidRPr="0037358E">
        <w:rPr>
          <w:rFonts w:ascii="Palatino Linotype" w:hAnsi="Palatino Linotype" w:cs="Arial"/>
          <w:color w:val="000000" w:themeColor="text1"/>
          <w:sz w:val="24"/>
          <w:szCs w:val="24"/>
          <w:lang w:val="es-ES"/>
        </w:rPr>
        <w:t xml:space="preserve"> mientras que por persona jurídica se ha señalado que deberá entenderse como la  </w:t>
      </w:r>
      <w:r w:rsidRPr="0037358E">
        <w:rPr>
          <w:rFonts w:ascii="Palatino Linotype" w:hAnsi="Palatino Linotype" w:cs="Arial"/>
          <w:i/>
          <w:color w:val="000000" w:themeColor="text1"/>
          <w:sz w:val="24"/>
          <w:szCs w:val="24"/>
          <w:lang w:val="es-ES"/>
        </w:rPr>
        <w:t>“1. f. Der. Organización de personas o de personas y de bienes a la que el derecho reconoce capacidad unitaria para ser sujeto de derechos y obligaciones, como las corporaciones, asociaciones, sociedades y fundaciones”.</w:t>
      </w:r>
      <w:r w:rsidRPr="0037358E">
        <w:rPr>
          <w:rFonts w:ascii="Palatino Linotype" w:hAnsi="Palatino Linotype" w:cs="Arial"/>
          <w:color w:val="000000" w:themeColor="text1"/>
          <w:sz w:val="24"/>
          <w:szCs w:val="24"/>
          <w:lang w:val="es-ES"/>
        </w:rPr>
        <w:t xml:space="preserve">  Frente a estas dos figuras se tiene al ente público o autoridad, que se traduce en el “</w:t>
      </w:r>
      <w:r w:rsidRPr="0037358E">
        <w:rPr>
          <w:rFonts w:ascii="Palatino Linotype" w:hAnsi="Palatino Linotype" w:cs="Arial"/>
          <w:i/>
          <w:color w:val="000000" w:themeColor="text1"/>
          <w:sz w:val="24"/>
          <w:szCs w:val="24"/>
          <w:lang w:val="es-ES"/>
        </w:rPr>
        <w:t>1. f. Poder que gobierna o ejerce el mando, de hecho o de derecho.”</w:t>
      </w:r>
      <w:r w:rsidRPr="0037358E">
        <w:rPr>
          <w:rStyle w:val="Refdenotaalpie"/>
          <w:rFonts w:ascii="Palatino Linotype" w:hAnsi="Palatino Linotype" w:cs="Arial"/>
          <w:i/>
          <w:color w:val="000000" w:themeColor="text1"/>
          <w:sz w:val="24"/>
          <w:szCs w:val="24"/>
          <w:lang w:val="es-ES"/>
        </w:rPr>
        <w:footnoteReference w:id="3"/>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 diferencia de las instituciones públicas, las personas, según el mandato expreso del artículo primero de la Constitución General de la República, gozan de los derechos humanos reconocidos en la Constitución y en los tratados internacionales de los que el Estado Mexicano sea parte.</w:t>
      </w:r>
    </w:p>
    <w:p w:rsidR="00FE31E6" w:rsidRPr="00FE31E6" w:rsidRDefault="00FE31E6" w:rsidP="00FE31E6">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Además, es criterio jurisprudencial de la Suprema Corte de Justicia de la Nación que no existe una diferencia entre las personas físicas y morales, por lo que ambos tipos de personas gozan de derechos humanos, aunque en el caso de las morales, debe revisarse cada caso para identificar los derechos que resulten conformes con su naturaleza y sus fines, según puede apreciarse a continuación.</w:t>
      </w:r>
    </w:p>
    <w:p w:rsidR="00627CAE" w:rsidRPr="0037358E" w:rsidRDefault="00627CAE" w:rsidP="00627CAE">
      <w:pPr>
        <w:pStyle w:val="Prrafodelista"/>
        <w:spacing w:before="240" w:after="0" w:line="360" w:lineRule="auto"/>
        <w:jc w:val="both"/>
        <w:rPr>
          <w:rFonts w:ascii="Palatino Linotype" w:hAnsi="Palatino Linotype" w:cs="Arial"/>
          <w:color w:val="000000" w:themeColor="text1"/>
          <w:sz w:val="24"/>
          <w:szCs w:val="24"/>
          <w:lang w:val="es-ES"/>
        </w:rPr>
      </w:pPr>
    </w:p>
    <w:p w:rsidR="00627CAE" w:rsidRPr="00B67CCF" w:rsidRDefault="00627CAE" w:rsidP="00627CAE">
      <w:pPr>
        <w:pStyle w:val="Prrafodelista"/>
        <w:spacing w:before="240" w:after="0" w:line="360" w:lineRule="auto"/>
        <w:ind w:left="567" w:right="333"/>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 xml:space="preserve">PRINCIPIO DE INTERPRETACIÓN MÁS FAVORABLE A LA PERSONA. ES APLICABLE RESPECTO DE LAS NORMAS RELATIVAS A LOS DERECHOS </w:t>
      </w:r>
      <w:r w:rsidRPr="00B67CCF">
        <w:rPr>
          <w:rFonts w:ascii="Palatino Linotype" w:hAnsi="Palatino Linotype" w:cs="Arial"/>
          <w:i/>
          <w:color w:val="000000" w:themeColor="text1"/>
          <w:szCs w:val="24"/>
          <w:lang w:val="es-ES"/>
        </w:rPr>
        <w:lastRenderedPageBreak/>
        <w:t xml:space="preserve">HUMANOS DE LOS QUE SEAN TITULARES LAS PERSONAS MORALES.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 (énfasis añadido). </w:t>
      </w:r>
    </w:p>
    <w:p w:rsidR="00627CAE" w:rsidRPr="00B67CCF"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(J). Décima Época. Pleno de la SCJN. Gaceta del Semanario Judicial de la Federación, Libro 16, Marzo de 2015, Tomo I, Tesis: P./J. 1/2015 (10a.). Página: 117.</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Entre estos derechos se encuentra, sin duda, el de acceso a la justicia, reconocido en el artículo 17 del mismo ordenamiento constitucional al señalar que toda persona tiene derecho a que se le administre justicia por </w:t>
      </w:r>
      <w:r w:rsidR="00550FAF">
        <w:rPr>
          <w:rFonts w:ascii="Palatino Linotype" w:hAnsi="Palatino Linotype" w:cs="Arial"/>
          <w:color w:val="000000" w:themeColor="text1"/>
          <w:sz w:val="24"/>
          <w:szCs w:val="24"/>
          <w:lang w:val="es-ES"/>
        </w:rPr>
        <w:t>T</w:t>
      </w:r>
      <w:r w:rsidRPr="0037358E">
        <w:rPr>
          <w:rFonts w:ascii="Palatino Linotype" w:hAnsi="Palatino Linotype" w:cs="Arial"/>
          <w:color w:val="000000" w:themeColor="text1"/>
          <w:sz w:val="24"/>
          <w:szCs w:val="24"/>
          <w:lang w:val="es-ES"/>
        </w:rPr>
        <w:t>ribunales que estarán expeditos para impartirla en los plazos y términos que fijen las leyes. Lo que encuentra apoyo en el criterio orientador emitido por el Colegiado al señalar:</w:t>
      </w:r>
    </w:p>
    <w:p w:rsidR="00627CAE" w:rsidRPr="0037358E" w:rsidRDefault="00627CAE" w:rsidP="00627CAE">
      <w:pPr>
        <w:pStyle w:val="Prrafodelista"/>
        <w:spacing w:before="240" w:after="0" w:line="360" w:lineRule="auto"/>
        <w:ind w:right="333"/>
        <w:jc w:val="both"/>
        <w:rPr>
          <w:rFonts w:ascii="Palatino Linotype" w:hAnsi="Palatino Linotype" w:cs="Arial"/>
          <w:color w:val="000000" w:themeColor="text1"/>
          <w:sz w:val="24"/>
          <w:szCs w:val="24"/>
          <w:lang w:val="es-ES"/>
        </w:rPr>
      </w:pPr>
    </w:p>
    <w:p w:rsidR="00627CAE" w:rsidRPr="003416F2"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lastRenderedPageBreak/>
        <w:t xml:space="preserve">PERSONAS MORALES. SON SUSCEPTIBLES DE LA PROTECCIÓN DE LOS DERECHOS HUMANOS, AL ESTAR INTEGRADAS POR PERSONAS FÍSICAS Y POR TENER EL CARÁCTER DE PARTE EN EL JUICIO DE AMPARO. De acuerdo con la interpretación convencional, podría considerarse que la titularidad de los derechos humanos únicamente corresponde a las personas físicas; sin embargo, la realidad jurídica evidencia que </w:t>
      </w:r>
      <w:r w:rsidRPr="003416F2">
        <w:rPr>
          <w:rFonts w:ascii="Palatino Linotype" w:hAnsi="Palatino Linotype" w:cs="Arial"/>
          <w:b/>
          <w:i/>
          <w:color w:val="000000" w:themeColor="text1"/>
          <w:szCs w:val="24"/>
          <w:lang w:val="es-ES"/>
        </w:rPr>
        <w:t>las personas morales o jurídicas también los adquieren, y son susceptibles de protección,</w:t>
      </w:r>
      <w:r w:rsidRPr="003416F2">
        <w:rPr>
          <w:rFonts w:ascii="Palatino Linotype" w:hAnsi="Palatino Linotype" w:cs="Arial"/>
          <w:i/>
          <w:color w:val="000000" w:themeColor="text1"/>
          <w:szCs w:val="24"/>
          <w:lang w:val="es-ES"/>
        </w:rPr>
        <w:t xml:space="preserve"> puesto que dichos derechos han evolucionado a una protección más amplia, como los llamados de primera generación, </w:t>
      </w:r>
      <w:r w:rsidRPr="003416F2">
        <w:rPr>
          <w:rFonts w:ascii="Palatino Linotype" w:hAnsi="Palatino Linotype" w:cs="Arial"/>
          <w:b/>
          <w:i/>
          <w:color w:val="000000" w:themeColor="text1"/>
          <w:szCs w:val="24"/>
          <w:lang w:val="es-ES"/>
        </w:rPr>
        <w:t>entre los que destacan</w:t>
      </w:r>
      <w:r w:rsidRPr="003416F2">
        <w:rPr>
          <w:rFonts w:ascii="Palatino Linotype" w:hAnsi="Palatino Linotype" w:cs="Arial"/>
          <w:i/>
          <w:color w:val="000000" w:themeColor="text1"/>
          <w:szCs w:val="24"/>
          <w:lang w:val="es-ES"/>
        </w:rPr>
        <w:t xml:space="preserve"> los de propiedad, posesión, credo religioso, personalidad, </w:t>
      </w:r>
      <w:r w:rsidRPr="003416F2">
        <w:rPr>
          <w:rFonts w:ascii="Palatino Linotype" w:hAnsi="Palatino Linotype" w:cs="Arial"/>
          <w:b/>
          <w:i/>
          <w:color w:val="000000" w:themeColor="text1"/>
          <w:szCs w:val="24"/>
          <w:lang w:val="es-ES"/>
        </w:rPr>
        <w:t>acceso a la justicia,</w:t>
      </w:r>
      <w:r w:rsidRPr="003416F2">
        <w:rPr>
          <w:rFonts w:ascii="Palatino Linotype" w:hAnsi="Palatino Linotype" w:cs="Arial"/>
          <w:i/>
          <w:color w:val="000000" w:themeColor="text1"/>
          <w:szCs w:val="24"/>
          <w:lang w:val="es-ES"/>
        </w:rPr>
        <w:t xml:space="preserve"> seguridad jurídica y legalidad, entre otros. Lo anterior es así, ya que se conceden a los seres humanos (personas físicas) en tanto que forman parte de una agrupación determinada, como las personas morales ofendidas; además, porque de acuerdo con el artículo 5o. de la Ley de Amparo, son partes en el juicio de amparo, entre otros, el tercero perjudicado, pudiendo intervenir con ese carácter el ofendido o las personas que conforme a la ley tengan derecho a la reparación del daño proveniente de la comisión de un delito, y entre éstas no sólo participan las personas físicas, sino también las morales (privadas u oficiales) (Énfasis añadido).</w:t>
      </w:r>
    </w:p>
    <w:p w:rsidR="00627CAE" w:rsidRPr="003416F2"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t xml:space="preserve">(TA) Décima Época. Tribunales Colegiados de Circuito. Semanario Judicial de la Federación y su Gaceta, Libro XVII, Febrero de 2013, Tomo 2, Tesis: I.7o.P.1 K (10a.), Página: 1418.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Distinto es el caso de las instituciones públicas, las que para que puedan acudir ante otra autoridad para ejercitar algún procedimiento ordinario de defensa procurando la protección de sus intereses o de los bienes jurídicos que protegen, </w:t>
      </w:r>
      <w:r w:rsidRPr="0037358E">
        <w:rPr>
          <w:rFonts w:ascii="Palatino Linotype" w:hAnsi="Palatino Linotype" w:cs="Arial"/>
          <w:color w:val="000000" w:themeColor="text1"/>
          <w:sz w:val="24"/>
          <w:szCs w:val="24"/>
          <w:lang w:val="es-ES"/>
        </w:rPr>
        <w:lastRenderedPageBreak/>
        <w:t xml:space="preserve">se requiere que el principio de reserva de ley se actualice en alguna disposición legal que le otorgue personalidad para ejercitarlo. </w:t>
      </w:r>
    </w:p>
    <w:p w:rsidR="00FE31E6" w:rsidRPr="0037358E" w:rsidRDefault="00FE31E6" w:rsidP="00FE31E6">
      <w:pPr>
        <w:pStyle w:val="Prrafodelista"/>
        <w:spacing w:before="240" w:after="0" w:line="360" w:lineRule="auto"/>
        <w:ind w:left="426"/>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t xml:space="preserve">Y la garantía jurisdiccional por excelencia, creada en nuestro país para tutelar los derechos humanos es, precisamente, el juicio de amparo. Garantía secundaria que si bien reconoce que puede ser promovido por las personas físicas y morales, incluso las “morales públicas”, es decir, la Federación, el en ese entonces “Distrito Federal”, los estados, municipios y otro tipo de personas morales públicas, estas sólo pueden acudir a ese medio “cuando la norma general, un acto u omisión los afecten en su patrimonio respecto de relaciones jurídicas en las que se encuentren en un plano de igualdad con los particulares”, según lo señala el primer párrafo del artículo 7 de la Ley de Amparo.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t>Esa disposición resulta totalmente coherente con</w:t>
      </w:r>
      <w:r w:rsidRPr="0037358E">
        <w:rPr>
          <w:rFonts w:ascii="Palatino Linotype" w:hAnsi="Palatino Linotype"/>
          <w:sz w:val="24"/>
          <w:szCs w:val="24"/>
          <w:lang w:val="es-ES_tradnl" w:eastAsia="es-ES_tradnl"/>
        </w:rPr>
        <w:t xml:space="preserve"> </w:t>
      </w:r>
      <w:r w:rsidRPr="0037358E">
        <w:rPr>
          <w:rFonts w:ascii="Palatino Linotype" w:hAnsi="Palatino Linotype" w:cs="Arial"/>
          <w:color w:val="000000" w:themeColor="text1"/>
          <w:sz w:val="24"/>
          <w:szCs w:val="24"/>
          <w:lang w:val="es-ES"/>
        </w:rPr>
        <w:t>la regulación en materia de transparencia y del derecho de acceso a la información pública, tanto porque la norma constitucional como la legal, impiden a los sujetos obligados, impugnar las resoluciones de los órganos garantes, con excepción de las materias relacionadas con la seguridad nacional. Lo que se confirma, para el caso de las “personas morales públicas” con la habilitación restringida considerada en la Ley de Amparo y que excluye a la materia cuya tutela se nos ha conferido.</w:t>
      </w:r>
    </w:p>
    <w:p w:rsidR="00627CAE" w:rsidRPr="0037358E" w:rsidRDefault="00627CAE" w:rsidP="00627CAE">
      <w:pPr>
        <w:pStyle w:val="Prrafodelista"/>
        <w:spacing w:before="240" w:after="0" w:line="360" w:lineRule="auto"/>
        <w:ind w:left="0"/>
        <w:jc w:val="both"/>
        <w:rPr>
          <w:rFonts w:ascii="Palatino Linotype" w:hAnsi="Palatino Linotype"/>
          <w:sz w:val="24"/>
          <w:szCs w:val="24"/>
          <w:lang w:val="es-ES_tradnl" w:eastAsia="es-ES_tradnl"/>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lastRenderedPageBreak/>
        <w:t xml:space="preserve">Pero extender dicha restricción, indiscriminadamente, a las personas físicas y morales que, a pesar de adquirir la condición de sujetos obligados, siguen conservando su naturaleza indisoluble de personas, puede provocar una afectación a los derechos humanos de esas personas, con lo que este </w:t>
      </w:r>
      <w:r w:rsidR="002F6C44">
        <w:rPr>
          <w:rFonts w:ascii="Palatino Linotype" w:hAnsi="Palatino Linotype" w:cs="Arial"/>
          <w:color w:val="000000" w:themeColor="text1"/>
          <w:sz w:val="24"/>
          <w:szCs w:val="24"/>
          <w:lang w:val="es-ES"/>
        </w:rPr>
        <w:t>Ó</w:t>
      </w:r>
      <w:r w:rsidRPr="0037358E">
        <w:rPr>
          <w:rFonts w:ascii="Palatino Linotype" w:hAnsi="Palatino Linotype" w:cs="Arial"/>
          <w:color w:val="000000" w:themeColor="text1"/>
          <w:sz w:val="24"/>
          <w:szCs w:val="24"/>
          <w:lang w:val="es-ES"/>
        </w:rPr>
        <w:t xml:space="preserve">rgano </w:t>
      </w:r>
      <w:r w:rsidR="002F6C44">
        <w:rPr>
          <w:rFonts w:ascii="Palatino Linotype" w:hAnsi="Palatino Linotype" w:cs="Arial"/>
          <w:color w:val="000000" w:themeColor="text1"/>
          <w:sz w:val="24"/>
          <w:szCs w:val="24"/>
          <w:lang w:val="es-ES"/>
        </w:rPr>
        <w:t>G</w:t>
      </w:r>
      <w:r w:rsidRPr="0037358E">
        <w:rPr>
          <w:rFonts w:ascii="Palatino Linotype" w:hAnsi="Palatino Linotype" w:cs="Arial"/>
          <w:color w:val="000000" w:themeColor="text1"/>
          <w:sz w:val="24"/>
          <w:szCs w:val="24"/>
          <w:lang w:val="es-ES"/>
        </w:rPr>
        <w:t>arante incumpliría el mandato impuesto por el párrafo tercero del artículo primero constitucional que establece la obligación a todas las autoridades de promover, respetar, proteger y garantizar los derechos humanos.</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Así que frente a esta antinomia jurídica, el </w:t>
      </w:r>
      <w:r w:rsidR="002F6C44">
        <w:rPr>
          <w:rFonts w:ascii="Palatino Linotype" w:hAnsi="Palatino Linotype" w:cs="Arial"/>
          <w:color w:val="000000" w:themeColor="text1"/>
          <w:sz w:val="24"/>
          <w:szCs w:val="24"/>
          <w:lang w:val="es-ES"/>
        </w:rPr>
        <w:t>Órgano G</w:t>
      </w:r>
      <w:r w:rsidRPr="0037358E">
        <w:rPr>
          <w:rFonts w:ascii="Palatino Linotype" w:hAnsi="Palatino Linotype" w:cs="Arial"/>
          <w:color w:val="000000" w:themeColor="text1"/>
          <w:sz w:val="24"/>
          <w:szCs w:val="24"/>
          <w:lang w:val="es-ES"/>
        </w:rPr>
        <w:t>arante no puede proceder sin pronunciarse al respecto, ya que una decisión que se imponga, sin tutelar el derecho del sindicato, en esta ocasión, o de cualquier otra persona física o moral que reciba y ejerza recursos públicos o realice actos de autoridad, podría ser contraria a lo que incluso ha resuelto ya la Corte Interamericana de Derechos Humanos</w:t>
      </w:r>
      <w:r w:rsidR="002F6C44">
        <w:rPr>
          <w:rFonts w:ascii="Palatino Linotype" w:hAnsi="Palatino Linotype" w:cs="Arial"/>
          <w:color w:val="000000" w:themeColor="text1"/>
          <w:sz w:val="24"/>
          <w:szCs w:val="24"/>
          <w:lang w:val="es-ES"/>
        </w:rPr>
        <w:t>,</w:t>
      </w:r>
      <w:r w:rsidRPr="0037358E">
        <w:rPr>
          <w:rFonts w:ascii="Palatino Linotype" w:hAnsi="Palatino Linotype" w:cs="Arial"/>
          <w:color w:val="000000" w:themeColor="text1"/>
          <w:sz w:val="24"/>
          <w:szCs w:val="24"/>
          <w:lang w:val="es-ES"/>
        </w:rPr>
        <w:t xml:space="preserve"> en el Caso Castañeda Gutman contra Estados Unidos Mexicanos</w:t>
      </w:r>
      <w:r w:rsidR="002F6C44">
        <w:rPr>
          <w:rFonts w:ascii="Palatino Linotype" w:hAnsi="Palatino Linotype" w:cs="Arial"/>
          <w:color w:val="000000" w:themeColor="text1"/>
          <w:sz w:val="24"/>
          <w:szCs w:val="24"/>
          <w:lang w:val="es-ES"/>
        </w:rPr>
        <w:t>,</w:t>
      </w:r>
      <w:r w:rsidRPr="0037358E">
        <w:rPr>
          <w:rFonts w:ascii="Palatino Linotype" w:hAnsi="Palatino Linotype" w:cs="Arial"/>
          <w:color w:val="000000" w:themeColor="text1"/>
          <w:sz w:val="24"/>
          <w:szCs w:val="24"/>
          <w:lang w:val="es-ES"/>
        </w:rPr>
        <w:t xml:space="preserve"> en sus párrafos 100 y 101 que señalan:</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spacing w:before="240" w:after="0" w:line="360" w:lineRule="auto"/>
        <w:ind w:right="333"/>
        <w:jc w:val="both"/>
        <w:rPr>
          <w:rFonts w:ascii="Palatino Linotype" w:hAnsi="Palatino Linotype" w:cs="Arial"/>
          <w:i/>
          <w:color w:val="000000" w:themeColor="text1"/>
          <w:sz w:val="24"/>
          <w:szCs w:val="24"/>
          <w:lang w:val="es-ES"/>
        </w:rPr>
      </w:pPr>
      <w:r w:rsidRPr="0037358E">
        <w:rPr>
          <w:rFonts w:ascii="Palatino Linotype" w:hAnsi="Palatino Linotype" w:cs="Arial"/>
          <w:i/>
          <w:color w:val="000000" w:themeColor="text1"/>
          <w:sz w:val="24"/>
          <w:szCs w:val="24"/>
          <w:lang w:val="es-ES"/>
        </w:rPr>
        <w:t xml:space="preserve">100. Este Tribunal considera que el sentido de la protección otorgada por el artículo 25 de la Convención es la posibilidad real de acceder a un recurso judicial para que la autoridad competente y capaz de emitir una decisión vinculante determine si ha habido o no una violación a algún derecho que la persona que reclama estima tener y que, en caso de ser encontrada una violación, el recurso sea útil para restituir al interesado en el goce de su derecho y repararlo. Sería </w:t>
      </w:r>
      <w:r w:rsidRPr="0037358E">
        <w:rPr>
          <w:rFonts w:ascii="Palatino Linotype" w:hAnsi="Palatino Linotype" w:cs="Arial"/>
          <w:i/>
          <w:color w:val="000000" w:themeColor="text1"/>
          <w:sz w:val="24"/>
          <w:szCs w:val="24"/>
          <w:lang w:val="es-ES"/>
        </w:rPr>
        <w:lastRenderedPageBreak/>
        <w:t xml:space="preserve">irrazonable establecer dicha garantía judicial si se exigiera a los justiciables saber de antemano si su situación será estimada por el órgano judicial como amparada por un derecho específico. </w:t>
      </w:r>
    </w:p>
    <w:p w:rsidR="00627CAE" w:rsidRPr="0037358E" w:rsidRDefault="00627CAE" w:rsidP="00627CAE">
      <w:pPr>
        <w:pStyle w:val="Prrafodelista"/>
        <w:spacing w:before="240" w:after="0" w:line="360" w:lineRule="auto"/>
        <w:ind w:right="333"/>
        <w:jc w:val="both"/>
        <w:rPr>
          <w:rFonts w:ascii="Palatino Linotype" w:hAnsi="Palatino Linotype" w:cs="Arial"/>
          <w:i/>
          <w:color w:val="000000" w:themeColor="text1"/>
          <w:sz w:val="24"/>
          <w:szCs w:val="24"/>
          <w:lang w:val="es-ES"/>
        </w:rPr>
      </w:pPr>
    </w:p>
    <w:p w:rsidR="00627CAE" w:rsidRPr="006B54EE" w:rsidRDefault="00627CAE" w:rsidP="00627CAE">
      <w:pPr>
        <w:pStyle w:val="Prrafodelista"/>
        <w:spacing w:before="240" w:after="0" w:line="360" w:lineRule="auto"/>
        <w:ind w:right="333"/>
        <w:jc w:val="both"/>
        <w:rPr>
          <w:rFonts w:ascii="Palatino Linotype" w:hAnsi="Palatino Linotype" w:cs="Arial"/>
          <w:i/>
          <w:color w:val="000000" w:themeColor="text1"/>
          <w:sz w:val="24"/>
          <w:szCs w:val="24"/>
          <w:lang w:val="es-ES"/>
        </w:rPr>
      </w:pPr>
      <w:r w:rsidRPr="0037358E">
        <w:rPr>
          <w:rFonts w:ascii="Palatino Linotype" w:hAnsi="Palatino Linotype" w:cs="Arial"/>
          <w:i/>
          <w:color w:val="000000" w:themeColor="text1"/>
          <w:sz w:val="24"/>
          <w:szCs w:val="24"/>
          <w:lang w:val="es-ES"/>
        </w:rPr>
        <w:t>101. En razón de lo anterior, independientemente de si la autoridad judicial declarare infundado el reclamo de la persona que interpone el recurso por no estar cubierto por la norma que invoca o no encontrare una violación del derecho que se alega vulnerado, el Estado está obligado a proveer recursos efectivos que permitan a las personas impugnar aquellos actos de autoridad que consideren violatorios de sus derechos humanos previstos en la Convención, la Constitución o las leyes. En efecto, el artículo 25 de la Convención Americana establece el derecho a la protección judicial de los derechos consagrados por la Convención, la Constitución o las leyes, el cual puede ser violado independientemente de que exista o no una violación al derecho reclamado o de que la situación que le servía de sustento se encontraba dentro del campo de aplicación del derecho invocado. Ello debido a que al igual que el artículo 8, “el artículo 25 de la Convención también consagra el derecho de acceso a la justicia”.</w:t>
      </w:r>
      <w:r w:rsidRPr="0037358E">
        <w:rPr>
          <w:rStyle w:val="Refdenotaalpie"/>
          <w:rFonts w:ascii="Palatino Linotype" w:hAnsi="Palatino Linotype" w:cs="Arial"/>
          <w:i/>
          <w:color w:val="000000" w:themeColor="text1"/>
          <w:sz w:val="24"/>
          <w:szCs w:val="24"/>
          <w:lang w:val="es-ES"/>
        </w:rPr>
        <w:footnoteReference w:id="4"/>
      </w:r>
    </w:p>
    <w:p w:rsidR="00627CAE" w:rsidRDefault="00627CAE" w:rsidP="00627CAE">
      <w:pPr>
        <w:spacing w:before="240" w:after="0" w:line="360" w:lineRule="auto"/>
        <w:jc w:val="both"/>
        <w:rPr>
          <w:rFonts w:ascii="Palatino Linotype" w:hAnsi="Palatino Linotype" w:cs="Arial"/>
          <w:i/>
          <w:color w:val="000000" w:themeColor="text1"/>
          <w:sz w:val="24"/>
          <w:szCs w:val="24"/>
          <w:lang w:val="es-ES"/>
        </w:rPr>
      </w:pPr>
      <w:r>
        <w:rPr>
          <w:rFonts w:ascii="Palatino Linotype" w:hAnsi="Palatino Linotype" w:cs="Arial"/>
          <w:color w:val="000000" w:themeColor="text1"/>
          <w:sz w:val="24"/>
          <w:szCs w:val="24"/>
          <w:lang w:val="es-ES"/>
        </w:rPr>
        <w:t xml:space="preserve">En este sentido  se ha considerado que: </w:t>
      </w:r>
      <w:r w:rsidRPr="00F7738C">
        <w:rPr>
          <w:rFonts w:ascii="Palatino Linotype" w:hAnsi="Palatino Linotype" w:cs="Arial"/>
          <w:i/>
          <w:color w:val="000000" w:themeColor="text1"/>
          <w:sz w:val="24"/>
          <w:szCs w:val="24"/>
          <w:lang w:val="es-ES"/>
        </w:rPr>
        <w:t xml:space="preserve">“Con la redacción constitucional queda claro que las entidades públicas, incluidos los partidos políticos que son entidades de interés público, no cuentan con recurso alguno para impugnar las resoluciones del IFAI. En todos estos casos </w:t>
      </w:r>
      <w:r w:rsidRPr="00F7738C">
        <w:rPr>
          <w:rFonts w:ascii="Palatino Linotype" w:hAnsi="Palatino Linotype" w:cs="Arial"/>
          <w:i/>
          <w:color w:val="000000" w:themeColor="text1"/>
          <w:sz w:val="24"/>
          <w:szCs w:val="24"/>
          <w:lang w:val="es-ES"/>
        </w:rPr>
        <w:lastRenderedPageBreak/>
        <w:t>se trata de instituciones que tienen competencias, obligaciones, facultades, pero no son titulares de derechos fundamentales. Reproduzco uno de ellos contenido en el artículo 17 constitucional: “toda persona tiene derecho a que s ele administre justicia por tribunales que estarán expeditos para impartirla en los plazos y términos que fijen las leyes, emitiendo sus resoluciones de manera pronta, completa e imparcial. Su servicio será gratuito, quedando, en consecuencia, prohibidas las costas judiciales. Se trata del derecho “de acceso a la justicia” que es medular en todo Estado constitucional y que puede entrar en colisión con la definitividad e inatacabilidad de las resoluciones del IFAI cuando los sujetos obligados, son personas físicas o morales.”</w:t>
      </w:r>
      <w:r>
        <w:rPr>
          <w:rStyle w:val="Refdenotaalpie"/>
          <w:rFonts w:ascii="Palatino Linotype" w:hAnsi="Palatino Linotype" w:cs="Arial"/>
          <w:i/>
          <w:color w:val="000000" w:themeColor="text1"/>
          <w:sz w:val="24"/>
          <w:szCs w:val="24"/>
          <w:lang w:val="es-ES"/>
        </w:rPr>
        <w:footnoteReference w:id="5"/>
      </w:r>
    </w:p>
    <w:p w:rsidR="00B67CCF" w:rsidRDefault="00B67CCF" w:rsidP="00627CAE">
      <w:pPr>
        <w:spacing w:before="240" w:after="0" w:line="360" w:lineRule="auto"/>
        <w:jc w:val="both"/>
        <w:rPr>
          <w:rFonts w:ascii="Palatino Linotype" w:hAnsi="Palatino Linotype" w:cs="Arial"/>
          <w:color w:val="000000" w:themeColor="text1"/>
          <w:sz w:val="24"/>
          <w:szCs w:val="24"/>
          <w:lang w:val="es-ES"/>
        </w:rPr>
      </w:pPr>
    </w:p>
    <w:p w:rsidR="00627CAE" w:rsidRPr="00D866D1" w:rsidRDefault="00627CAE" w:rsidP="00AB7627">
      <w:pPr>
        <w:pStyle w:val="Ttulo1"/>
        <w:numPr>
          <w:ilvl w:val="0"/>
          <w:numId w:val="16"/>
        </w:numPr>
        <w:spacing w:line="276" w:lineRule="auto"/>
        <w:jc w:val="both"/>
        <w:rPr>
          <w:rFonts w:ascii="Palatino Linotype" w:hAnsi="Palatino Linotype" w:cs="Arial"/>
          <w:b/>
          <w:color w:val="000000" w:themeColor="text1"/>
          <w:sz w:val="24"/>
          <w:szCs w:val="24"/>
          <w:lang w:val="es-ES"/>
        </w:rPr>
      </w:pPr>
      <w:bookmarkStart w:id="4" w:name="_Toc521942229"/>
      <w:r w:rsidRPr="00D866D1">
        <w:rPr>
          <w:rFonts w:ascii="Palatino Linotype" w:hAnsi="Palatino Linotype"/>
          <w:b/>
          <w:color w:val="auto"/>
          <w:sz w:val="24"/>
          <w:lang w:val="es-ES"/>
        </w:rPr>
        <w:t>Problema y propuesta.</w:t>
      </w:r>
      <w:bookmarkEnd w:id="4"/>
    </w:p>
    <w:p w:rsidR="00B67CCF" w:rsidRPr="0037358E" w:rsidRDefault="00B67CCF" w:rsidP="00627CAE">
      <w:pPr>
        <w:spacing w:line="276" w:lineRule="auto"/>
        <w:jc w:val="both"/>
        <w:rPr>
          <w:rFonts w:ascii="Palatino Linotype" w:hAnsi="Palatino Linotype" w:cs="Arial"/>
          <w:b/>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Si bien la definitividad de nuestras resoluciones claramente se actualiza en el caso de las entidades públicas y de los propios partidos políticos, para el caso de las personas no públicas, existe una clara antinomia jurídica entre la regla constitucional y legal que señala que nuestras resoluciones son definitivas e inatacables para los sujetos obligados y el derecho constitucional y convencional de acceso a la justicia. </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w:t>
      </w: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lastRenderedPageBreak/>
        <w:t xml:space="preserve"> Por lo que al restringirse –en nuestra propia resolución–, el derecho de acceso a la justicia </w:t>
      </w:r>
      <w:r w:rsidRPr="002F6C44">
        <w:rPr>
          <w:rFonts w:ascii="Palatino Linotype" w:hAnsi="Palatino Linotype" w:cs="Arial"/>
          <w:color w:val="000000" w:themeColor="text1"/>
          <w:sz w:val="24"/>
          <w:szCs w:val="24"/>
          <w:lang w:val="es-ES"/>
        </w:rPr>
        <w:t xml:space="preserve">del </w:t>
      </w:r>
      <w:r w:rsidR="002F6C44" w:rsidRPr="002F6C44">
        <w:rPr>
          <w:rFonts w:ascii="Palatino Linotype" w:hAnsi="Palatino Linotype" w:cs="Arial"/>
          <w:b/>
          <w:color w:val="000000" w:themeColor="text1"/>
          <w:sz w:val="24"/>
          <w:szCs w:val="24"/>
          <w:lang w:val="es-ES"/>
        </w:rPr>
        <w:t>Sindicato Único de Trabajadores de los Poderes, Municipios e Instituciones Descentralizadas del Estado de México</w:t>
      </w:r>
      <w:r w:rsidRPr="0037358E">
        <w:rPr>
          <w:rFonts w:ascii="Palatino Linotype" w:hAnsi="Palatino Linotype" w:cs="Arial"/>
          <w:color w:val="000000" w:themeColor="text1"/>
          <w:sz w:val="24"/>
          <w:szCs w:val="24"/>
          <w:lang w:val="es-ES"/>
        </w:rPr>
        <w:t>, para poder impugnar, vía amparo, nuestra decisión, podría colocarnos en una situación que afecte los derechos humanos de la persona moral.</w:t>
      </w:r>
    </w:p>
    <w:p w:rsidR="00B67CCF" w:rsidRPr="00B67CCF" w:rsidRDefault="00B67CCF" w:rsidP="00B67CCF">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Para evitar esa situación y obligados jurisprudencialmente a realizar control de convencionalidad y de constitucionalidad, en el ámbito de nuestras atribuciones, este órgano garante puede resolver el problema a través de una interpretación conforme que armonice tanto la regla constitucional de definitividad de nuestras resolución con el principio constitucional más importante en materia de derechos humanos.</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Para tal efecto debemos entender que la porción normativa que señala “Las resoluciones del organismo garante son vinculatorias, definitivas e inatacables para los sujetos obligados” debe entenderse precisando que eso es aplicable en el caso de los “sujetos obligados de carácter gubernamental y de los partidos políticos”.</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t>En consecuencia, por lo que corresponde a las personas físicas y morales</w:t>
      </w:r>
      <w:r w:rsidR="002F6C44">
        <w:rPr>
          <w:rFonts w:ascii="Palatino Linotype" w:hAnsi="Palatino Linotype" w:cs="Arial"/>
          <w:color w:val="000000" w:themeColor="text1"/>
          <w:sz w:val="24"/>
          <w:szCs w:val="24"/>
          <w:lang w:val="es-ES"/>
        </w:rPr>
        <w:t>,</w:t>
      </w:r>
      <w:r w:rsidRPr="0037358E">
        <w:rPr>
          <w:rFonts w:ascii="Palatino Linotype" w:hAnsi="Palatino Linotype" w:cs="Arial"/>
          <w:color w:val="000000" w:themeColor="text1"/>
          <w:sz w:val="24"/>
          <w:szCs w:val="24"/>
          <w:lang w:val="es-ES"/>
        </w:rPr>
        <w:t xml:space="preserve"> y a los sindicatos que reciban y ejerzan recursos públicos o realicen actos de autoridad, </w:t>
      </w:r>
      <w:r w:rsidRPr="0037358E">
        <w:rPr>
          <w:rFonts w:ascii="Palatino Linotype" w:hAnsi="Palatino Linotype" w:cs="Arial"/>
          <w:color w:val="000000" w:themeColor="text1"/>
          <w:sz w:val="24"/>
          <w:szCs w:val="24"/>
          <w:lang w:val="es-ES"/>
        </w:rPr>
        <w:lastRenderedPageBreak/>
        <w:t>estas personas, así como los recurrentes, pueden impugnar nuestras resoluciones a través del juicio de amparo.</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t xml:space="preserve"> La interpretación conforme, de la disposición sospechosa de inconstitucionalidad e inconvencionalidad, que se propone y que se integra señalando un contenido que se encuentra informado por lo dispuesto en el artículo primero párrafo primero de la Constitución General de la República, encuentra mayor respaldo al armonizar el nuevo contenido deducido de los parámetros constitucionales con el texto de los artículos 158 de la Ley General que establece: “Los particulares podrán impugnar las determinaciones o resoluciones de los organismos garantes ante el Poder Judicial de la Federación” y 196 de la Ley de Transparencia y Acceso a la Información del Estado de México y Municipios que señala: “Los particulares podrán impugnar las determinaciones o resoluciones del Instituto ante el Instituto Nacional o el Poder Judicial de la Federación, conforme a lo previsto en la Ley General”. En este caso,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Con lo que logramos salvar las diferentes normas jurídicas en cuestión promoviendo el más alto estándar en la tutela de los derechos humanos.</w:t>
      </w:r>
    </w:p>
    <w:p w:rsidR="00C3567A" w:rsidRDefault="00C3567A" w:rsidP="00C3567A">
      <w:pPr>
        <w:pStyle w:val="Prrafodelista"/>
        <w:spacing w:before="240" w:after="0" w:line="360" w:lineRule="auto"/>
        <w:ind w:left="426"/>
        <w:jc w:val="both"/>
        <w:rPr>
          <w:rFonts w:ascii="Palatino Linotype" w:hAnsi="Palatino Linotype" w:cs="Arial"/>
          <w:color w:val="000000" w:themeColor="text1"/>
          <w:sz w:val="24"/>
          <w:szCs w:val="24"/>
          <w:lang w:val="es-ES" w:eastAsia="es-ES_tradnl"/>
        </w:rPr>
      </w:pPr>
    </w:p>
    <w:p w:rsidR="00C3567A" w:rsidRPr="00CC4B90" w:rsidRDefault="00C3567A" w:rsidP="00C3567A">
      <w:pPr>
        <w:pStyle w:val="Prrafodelista"/>
        <w:numPr>
          <w:ilvl w:val="0"/>
          <w:numId w:val="1"/>
        </w:numPr>
        <w:spacing w:before="240" w:after="0" w:line="360" w:lineRule="auto"/>
        <w:ind w:left="426"/>
        <w:jc w:val="both"/>
        <w:rPr>
          <w:rFonts w:ascii="Palatino Linotype" w:hAnsi="Palatino Linotype" w:cs="Arial"/>
          <w:b/>
          <w:sz w:val="24"/>
          <w:szCs w:val="24"/>
        </w:rPr>
      </w:pPr>
      <w:r w:rsidRPr="00CC4B90">
        <w:rPr>
          <w:rFonts w:ascii="Palatino Linotype" w:hAnsi="Palatino Linotype" w:cs="Arial"/>
          <w:color w:val="000000" w:themeColor="text1"/>
          <w:sz w:val="24"/>
          <w:szCs w:val="24"/>
          <w:lang w:val="es-ES"/>
        </w:rPr>
        <w:t xml:space="preserve">Es así que la Ley Federal de protección de datos personales en posesión de los particulares </w:t>
      </w:r>
      <w:r w:rsidRPr="00CC4B90">
        <w:rPr>
          <w:rFonts w:ascii="Palatino Linotype" w:hAnsi="Palatino Linotype" w:cs="Arial"/>
          <w:sz w:val="24"/>
          <w:szCs w:val="24"/>
        </w:rPr>
        <w:t>establece lo siguiente</w:t>
      </w:r>
      <w:r w:rsidRPr="00CC4B90">
        <w:rPr>
          <w:rFonts w:ascii="Palatino Linotype" w:hAnsi="Palatino Linotype" w:cs="Arial"/>
          <w:b/>
          <w:sz w:val="24"/>
          <w:szCs w:val="24"/>
        </w:rPr>
        <w:t>:</w:t>
      </w:r>
    </w:p>
    <w:p w:rsidR="006A7929" w:rsidRPr="00CC4B90" w:rsidRDefault="006A7929" w:rsidP="006A7929">
      <w:pPr>
        <w:pStyle w:val="Prrafodelista"/>
        <w:rPr>
          <w:rFonts w:ascii="Palatino Linotype" w:hAnsi="Palatino Linotype" w:cs="Arial"/>
          <w:b/>
          <w:sz w:val="24"/>
          <w:szCs w:val="24"/>
        </w:rPr>
      </w:pPr>
    </w:p>
    <w:p w:rsidR="00C3567A" w:rsidRPr="00CC4B90" w:rsidRDefault="00C3567A" w:rsidP="00C3567A">
      <w:pPr>
        <w:pStyle w:val="Prrafodelista"/>
        <w:spacing w:after="0" w:line="360" w:lineRule="auto"/>
        <w:ind w:right="616"/>
        <w:jc w:val="both"/>
        <w:rPr>
          <w:rFonts w:ascii="Palatino Linotype" w:eastAsia="Times New Roman" w:hAnsi="Palatino Linotype" w:cs="Times New Roman"/>
          <w:i/>
          <w:sz w:val="32"/>
          <w:szCs w:val="24"/>
          <w:lang w:eastAsia="es-MX"/>
        </w:rPr>
      </w:pPr>
      <w:r w:rsidRPr="00CC4B90">
        <w:rPr>
          <w:rFonts w:ascii="Palatino Linotype" w:eastAsia="Times New Roman" w:hAnsi="Palatino Linotype" w:cs="Arial"/>
          <w:i/>
          <w:color w:val="222222"/>
          <w:szCs w:val="19"/>
          <w:shd w:val="clear" w:color="auto" w:fill="FFFFFF"/>
          <w:lang w:eastAsia="es-MX"/>
        </w:rPr>
        <w:t>Artículo 56.- Contra las resoluciones del Instituto, los particulares podrán promover el juicio de nulidad ante el Tribunal Federal de Justicia Fiscal y Administrativa. </w:t>
      </w:r>
    </w:p>
    <w:p w:rsidR="00C3567A" w:rsidRPr="00CC4B90"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p>
    <w:p w:rsidR="00C3567A" w:rsidRPr="00CC4B90"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r w:rsidRPr="00CC4B90">
        <w:rPr>
          <w:rFonts w:ascii="Palatino Linotype" w:eastAsia="Times New Roman" w:hAnsi="Palatino Linotype" w:cs="Arial"/>
          <w:i/>
          <w:color w:val="222222"/>
          <w:szCs w:val="19"/>
          <w:lang w:eastAsia="es-MX"/>
        </w:rPr>
        <w:t>Artículo 57.- Todas las resoluciones del Instituto serán susceptibles de difundirse públicamente en versiones públicas, eliminando aquellas referencias al titular de los datos que lo identifiquen o lo hagan identificable. </w:t>
      </w:r>
    </w:p>
    <w:p w:rsidR="00C3567A" w:rsidRPr="00CC4B90"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p>
    <w:p w:rsidR="00C3567A" w:rsidRPr="00CC4B90"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r w:rsidRPr="00CC4B90">
        <w:rPr>
          <w:rFonts w:ascii="Palatino Linotype" w:eastAsia="Times New Roman" w:hAnsi="Palatino Linotype" w:cs="Arial"/>
          <w:i/>
          <w:color w:val="222222"/>
          <w:szCs w:val="19"/>
          <w:lang w:eastAsia="es-MX"/>
        </w:rPr>
        <w:t>Artículo 58.- Los titulares que consideren que han sufrido un daño o lesión en sus bienes o derechos como consecuencia del incumplimiento a lo dispuesto en la presente Ley por el responsable o el encargado, podrán ejercer los derechos que estimen pertinentes para efectos de la indemnización que proceda, en términos de las disposiciones legales correspondientes.</w:t>
      </w:r>
    </w:p>
    <w:p w:rsidR="00C3567A" w:rsidRPr="00CC4B90" w:rsidRDefault="00C3567A" w:rsidP="00C3567A">
      <w:pPr>
        <w:rPr>
          <w:rFonts w:ascii="Palatino Linotype" w:hAnsi="Palatino Linotype" w:cs="Arial"/>
          <w:b/>
          <w:sz w:val="24"/>
          <w:szCs w:val="24"/>
        </w:rPr>
      </w:pPr>
    </w:p>
    <w:p w:rsidR="00C3567A" w:rsidRDefault="00C3567A" w:rsidP="00C3567A">
      <w:pPr>
        <w:pStyle w:val="Prrafodelista"/>
        <w:numPr>
          <w:ilvl w:val="0"/>
          <w:numId w:val="1"/>
        </w:numPr>
        <w:spacing w:before="240" w:after="0" w:line="360" w:lineRule="auto"/>
        <w:ind w:left="426"/>
        <w:jc w:val="both"/>
        <w:rPr>
          <w:rFonts w:ascii="Palatino Linotype" w:hAnsi="Palatino Linotype" w:cs="Arial"/>
          <w:sz w:val="24"/>
          <w:szCs w:val="24"/>
        </w:rPr>
      </w:pPr>
      <w:r w:rsidRPr="00CC4B90">
        <w:rPr>
          <w:rFonts w:ascii="Palatino Linotype" w:hAnsi="Palatino Linotype" w:cs="Arial"/>
          <w:sz w:val="24"/>
          <w:szCs w:val="24"/>
        </w:rPr>
        <w:t xml:space="preserve">En ese sentido, se entiende que al igual que las personas físicas, </w:t>
      </w:r>
      <w:r w:rsidR="00FE31E6" w:rsidRPr="00CC4B90">
        <w:rPr>
          <w:rFonts w:ascii="Palatino Linotype" w:hAnsi="Palatino Linotype" w:cs="Arial"/>
          <w:sz w:val="24"/>
          <w:szCs w:val="24"/>
        </w:rPr>
        <w:t>las personas morales, tienen el derecho</w:t>
      </w:r>
      <w:r w:rsidRPr="00CC4B90">
        <w:rPr>
          <w:rFonts w:ascii="Palatino Linotype" w:hAnsi="Palatino Linotype" w:cs="Arial"/>
          <w:sz w:val="24"/>
          <w:szCs w:val="24"/>
        </w:rPr>
        <w:t xml:space="preserve"> de interponer medios de impugnación cuando l</w:t>
      </w:r>
      <w:r w:rsidR="00B55534" w:rsidRPr="00CC4B90">
        <w:rPr>
          <w:rFonts w:ascii="Palatino Linotype" w:hAnsi="Palatino Linotype" w:cs="Arial"/>
          <w:sz w:val="24"/>
          <w:szCs w:val="24"/>
        </w:rPr>
        <w:t>as resoluciones les causen</w:t>
      </w:r>
      <w:r w:rsidRPr="00CC4B90">
        <w:rPr>
          <w:rFonts w:ascii="Palatino Linotype" w:hAnsi="Palatino Linotype" w:cs="Arial"/>
          <w:sz w:val="24"/>
          <w:szCs w:val="24"/>
        </w:rPr>
        <w:t xml:space="preserve"> perjuicio</w:t>
      </w:r>
      <w:r w:rsidR="00B55534" w:rsidRPr="00CC4B90">
        <w:rPr>
          <w:rFonts w:ascii="Palatino Linotype" w:hAnsi="Palatino Linotype" w:cs="Arial"/>
          <w:sz w:val="24"/>
          <w:szCs w:val="24"/>
        </w:rPr>
        <w:t xml:space="preserve"> alguno</w:t>
      </w:r>
      <w:r w:rsidRPr="00CC4B90">
        <w:rPr>
          <w:rFonts w:ascii="Palatino Linotype" w:hAnsi="Palatino Linotype" w:cs="Arial"/>
          <w:sz w:val="24"/>
          <w:szCs w:val="24"/>
        </w:rPr>
        <w:t xml:space="preserve">, de lo contrario, dichas personas se encontrarían en un estado de vulnerabilidad en contra de los Sujetos Obligados, impidiéndoles </w:t>
      </w:r>
      <w:r w:rsidR="00FE31E6" w:rsidRPr="00CC4B90">
        <w:rPr>
          <w:rFonts w:ascii="Palatino Linotype" w:hAnsi="Palatino Linotype" w:cs="Arial"/>
          <w:sz w:val="24"/>
          <w:szCs w:val="24"/>
        </w:rPr>
        <w:t xml:space="preserve">que </w:t>
      </w:r>
      <w:r w:rsidRPr="00CC4B90">
        <w:rPr>
          <w:rFonts w:ascii="Palatino Linotype" w:hAnsi="Palatino Linotype" w:cs="Arial"/>
          <w:sz w:val="24"/>
          <w:szCs w:val="24"/>
        </w:rPr>
        <w:t>cuando con</w:t>
      </w:r>
      <w:r w:rsidR="00FE31E6" w:rsidRPr="00CC4B90">
        <w:rPr>
          <w:rFonts w:ascii="Palatino Linotype" w:hAnsi="Palatino Linotype" w:cs="Arial"/>
          <w:sz w:val="24"/>
          <w:szCs w:val="24"/>
        </w:rPr>
        <w:t>sideren que las resoluciones</w:t>
      </w:r>
      <w:r w:rsidRPr="00CC4B90">
        <w:rPr>
          <w:rFonts w:ascii="Palatino Linotype" w:hAnsi="Palatino Linotype" w:cs="Arial"/>
          <w:sz w:val="24"/>
          <w:szCs w:val="24"/>
        </w:rPr>
        <w:t xml:space="preserve"> violan sus derechos, estos puedan interponer medio</w:t>
      </w:r>
      <w:r w:rsidR="00FE31E6" w:rsidRPr="00CC4B90">
        <w:rPr>
          <w:rFonts w:ascii="Palatino Linotype" w:hAnsi="Palatino Linotype" w:cs="Arial"/>
          <w:sz w:val="24"/>
          <w:szCs w:val="24"/>
        </w:rPr>
        <w:t>s</w:t>
      </w:r>
      <w:r w:rsidRPr="00CC4B90">
        <w:rPr>
          <w:rFonts w:ascii="Palatino Linotype" w:hAnsi="Palatino Linotype" w:cs="Arial"/>
          <w:sz w:val="24"/>
          <w:szCs w:val="24"/>
        </w:rPr>
        <w:t xml:space="preserve"> de defensa correspondiente</w:t>
      </w:r>
      <w:r w:rsidR="00FE31E6" w:rsidRPr="00CC4B90">
        <w:rPr>
          <w:rFonts w:ascii="Palatino Linotype" w:hAnsi="Palatino Linotype" w:cs="Arial"/>
          <w:sz w:val="24"/>
          <w:szCs w:val="24"/>
        </w:rPr>
        <w:t>s</w:t>
      </w:r>
      <w:r w:rsidRPr="00CC4B90">
        <w:rPr>
          <w:rFonts w:ascii="Palatino Linotype" w:hAnsi="Palatino Linotype" w:cs="Arial"/>
          <w:sz w:val="24"/>
          <w:szCs w:val="24"/>
        </w:rPr>
        <w:t>.</w:t>
      </w:r>
    </w:p>
    <w:p w:rsidR="00D866D1" w:rsidRPr="00D866D1" w:rsidRDefault="00D866D1" w:rsidP="00BC675B">
      <w:pPr>
        <w:pStyle w:val="Prrafodelista"/>
        <w:spacing w:before="240" w:after="0" w:line="360" w:lineRule="auto"/>
        <w:ind w:left="426"/>
        <w:jc w:val="both"/>
        <w:outlineLvl w:val="0"/>
        <w:rPr>
          <w:rFonts w:ascii="Palatino Linotype" w:hAnsi="Palatino Linotype" w:cs="Arial"/>
          <w:b/>
          <w:sz w:val="24"/>
          <w:szCs w:val="24"/>
        </w:rPr>
      </w:pPr>
      <w:bookmarkStart w:id="5" w:name="_Toc521942230"/>
      <w:r>
        <w:rPr>
          <w:rFonts w:ascii="Palatino Linotype" w:hAnsi="Palatino Linotype" w:cs="Arial"/>
          <w:b/>
          <w:sz w:val="24"/>
          <w:szCs w:val="24"/>
        </w:rPr>
        <w:lastRenderedPageBreak/>
        <w:t xml:space="preserve">V. </w:t>
      </w:r>
      <w:r w:rsidR="00BC675B">
        <w:rPr>
          <w:rFonts w:ascii="Palatino Linotype" w:hAnsi="Palatino Linotype" w:cs="Arial"/>
          <w:b/>
          <w:sz w:val="24"/>
          <w:szCs w:val="24"/>
        </w:rPr>
        <w:t xml:space="preserve">De la clasificación de la información de los numerales 1 y 3 de la solicitud de información como </w:t>
      </w:r>
      <w:r w:rsidR="00C17876">
        <w:rPr>
          <w:rFonts w:ascii="Palatino Linotype" w:hAnsi="Palatino Linotype" w:cs="Arial"/>
          <w:b/>
          <w:sz w:val="24"/>
          <w:szCs w:val="24"/>
        </w:rPr>
        <w:t>CONFIDENCIAL</w:t>
      </w:r>
      <w:r w:rsidR="00BC675B">
        <w:rPr>
          <w:rFonts w:ascii="Palatino Linotype" w:hAnsi="Palatino Linotype" w:cs="Arial"/>
          <w:b/>
          <w:sz w:val="24"/>
          <w:szCs w:val="24"/>
        </w:rPr>
        <w:t>.</w:t>
      </w:r>
      <w:bookmarkEnd w:id="5"/>
    </w:p>
    <w:p w:rsidR="00D866D1" w:rsidRDefault="00D866D1" w:rsidP="00D866D1">
      <w:pPr>
        <w:pStyle w:val="Prrafodelista"/>
        <w:spacing w:before="240" w:after="0" w:line="360" w:lineRule="auto"/>
        <w:ind w:left="426"/>
        <w:jc w:val="both"/>
        <w:rPr>
          <w:rFonts w:ascii="Palatino Linotype" w:hAnsi="Palatino Linotype" w:cs="Arial"/>
          <w:sz w:val="24"/>
          <w:szCs w:val="24"/>
        </w:rPr>
      </w:pPr>
    </w:p>
    <w:p w:rsidR="00D866D1" w:rsidRDefault="0017326A" w:rsidP="00C3567A">
      <w:pPr>
        <w:pStyle w:val="Prrafodelista"/>
        <w:numPr>
          <w:ilvl w:val="0"/>
          <w:numId w:val="1"/>
        </w:numPr>
        <w:spacing w:before="240" w:after="0" w:line="360" w:lineRule="auto"/>
        <w:ind w:left="426"/>
        <w:jc w:val="both"/>
        <w:rPr>
          <w:rFonts w:ascii="Palatino Linotype" w:hAnsi="Palatino Linotype" w:cs="Arial"/>
          <w:sz w:val="24"/>
          <w:szCs w:val="24"/>
        </w:rPr>
      </w:pPr>
      <w:r>
        <w:rPr>
          <w:rFonts w:ascii="Palatino Linotype" w:hAnsi="Palatino Linotype" w:cs="Arial"/>
          <w:sz w:val="24"/>
          <w:szCs w:val="24"/>
        </w:rPr>
        <w:t xml:space="preserve">Ahora bien, dentro del considerando CUARTO de la resolución, se realizó un estudio sobre la información devengada de las cuotas sindicales, y derivado de ello se concluyó que la información en comento enmarcaba dentro de la semántica de la información clasificada, en consecuencia se ordenó hacer entrega a la </w:t>
      </w:r>
      <w:r>
        <w:rPr>
          <w:rFonts w:ascii="Palatino Linotype" w:hAnsi="Palatino Linotype" w:cs="Arial"/>
          <w:b/>
          <w:sz w:val="24"/>
          <w:szCs w:val="24"/>
        </w:rPr>
        <w:t>RECURRENTE</w:t>
      </w:r>
      <w:r>
        <w:rPr>
          <w:rFonts w:ascii="Palatino Linotype" w:hAnsi="Palatino Linotype" w:cs="Arial"/>
          <w:sz w:val="24"/>
          <w:szCs w:val="24"/>
        </w:rPr>
        <w:t xml:space="preserve"> del Acuerdo del Comité de Transparencia mediante el cual se confirme la Clasificación de la Información como confidencial, en términos de los artículos 122 y 143 fracción I de la Ley de Transparencia y acceso a la Información Pública del Estado de México y Municipios</w:t>
      </w:r>
      <w:r w:rsidR="00A971ED">
        <w:rPr>
          <w:rFonts w:ascii="Palatino Linotype" w:hAnsi="Palatino Linotype" w:cs="Arial"/>
          <w:sz w:val="24"/>
          <w:szCs w:val="24"/>
        </w:rPr>
        <w:t>.</w:t>
      </w:r>
    </w:p>
    <w:p w:rsidR="00BC675B" w:rsidRDefault="00BC675B" w:rsidP="00BC675B">
      <w:pPr>
        <w:pStyle w:val="Prrafodelista"/>
        <w:spacing w:before="240" w:after="0" w:line="360" w:lineRule="auto"/>
        <w:ind w:left="426"/>
        <w:jc w:val="both"/>
        <w:rPr>
          <w:rFonts w:ascii="Palatino Linotype" w:hAnsi="Palatino Linotype" w:cs="Arial"/>
          <w:sz w:val="24"/>
          <w:szCs w:val="24"/>
        </w:rPr>
      </w:pPr>
    </w:p>
    <w:p w:rsidR="00D866D1" w:rsidRDefault="00A971ED" w:rsidP="00776441">
      <w:pPr>
        <w:pStyle w:val="Prrafodelista"/>
        <w:numPr>
          <w:ilvl w:val="0"/>
          <w:numId w:val="1"/>
        </w:numPr>
        <w:spacing w:before="240" w:after="0" w:line="360" w:lineRule="auto"/>
        <w:ind w:left="426"/>
        <w:jc w:val="both"/>
        <w:rPr>
          <w:rFonts w:ascii="Palatino Linotype" w:hAnsi="Palatino Linotype" w:cs="Arial"/>
          <w:sz w:val="24"/>
          <w:szCs w:val="24"/>
        </w:rPr>
      </w:pPr>
      <w:r>
        <w:rPr>
          <w:rFonts w:ascii="Palatino Linotype" w:hAnsi="Palatino Linotype" w:cs="Arial"/>
          <w:sz w:val="24"/>
          <w:szCs w:val="24"/>
        </w:rPr>
        <w:t>Al respecto, e</w:t>
      </w:r>
      <w:r w:rsidR="00BC675B" w:rsidRPr="00BC675B">
        <w:rPr>
          <w:rFonts w:ascii="Palatino Linotype" w:hAnsi="Palatino Linotype" w:cs="Arial"/>
          <w:sz w:val="24"/>
          <w:szCs w:val="24"/>
        </w:rPr>
        <w:t>s importante señalar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BC675B" w:rsidRDefault="00BC675B" w:rsidP="00776441">
      <w:pPr>
        <w:pStyle w:val="Prrafodelista"/>
        <w:spacing w:before="240" w:after="0" w:line="360" w:lineRule="auto"/>
        <w:ind w:left="426"/>
        <w:jc w:val="both"/>
        <w:rPr>
          <w:rFonts w:ascii="Palatino Linotype" w:hAnsi="Palatino Linotype" w:cs="Arial"/>
          <w:sz w:val="24"/>
          <w:szCs w:val="24"/>
        </w:rPr>
      </w:pPr>
    </w:p>
    <w:p w:rsidR="00D866D1" w:rsidRDefault="00C53419" w:rsidP="00776441">
      <w:pPr>
        <w:pStyle w:val="Prrafodelista"/>
        <w:numPr>
          <w:ilvl w:val="0"/>
          <w:numId w:val="1"/>
        </w:numPr>
        <w:spacing w:before="240" w:after="0" w:line="360" w:lineRule="auto"/>
        <w:ind w:left="426"/>
        <w:jc w:val="both"/>
        <w:rPr>
          <w:rFonts w:ascii="Palatino Linotype" w:hAnsi="Palatino Linotype" w:cs="Arial"/>
          <w:sz w:val="24"/>
          <w:szCs w:val="24"/>
        </w:rPr>
      </w:pPr>
      <w:r>
        <w:rPr>
          <w:rFonts w:ascii="Palatino Linotype" w:hAnsi="Palatino Linotype" w:cs="Arial"/>
          <w:sz w:val="24"/>
          <w:szCs w:val="24"/>
        </w:rPr>
        <w:lastRenderedPageBreak/>
        <w:t xml:space="preserve">El </w:t>
      </w:r>
      <w:r w:rsidRPr="00C53419">
        <w:rPr>
          <w:rFonts w:ascii="Palatino Linotype" w:hAnsi="Palatino Linotype" w:cs="Arial"/>
          <w:sz w:val="24"/>
          <w:szCs w:val="24"/>
        </w:rPr>
        <w:t>artículo 18 de la Ley en la materia los Sujetos Obligados cuenta</w:t>
      </w:r>
      <w:r>
        <w:rPr>
          <w:rFonts w:ascii="Palatino Linotype" w:hAnsi="Palatino Linotype" w:cs="Arial"/>
          <w:sz w:val="24"/>
          <w:szCs w:val="24"/>
        </w:rPr>
        <w:t>n</w:t>
      </w:r>
      <w:r w:rsidRPr="00C53419">
        <w:rPr>
          <w:rFonts w:ascii="Palatino Linotype" w:hAnsi="Palatino Linotype" w:cs="Arial"/>
          <w:sz w:val="24"/>
          <w:szCs w:val="24"/>
        </w:rPr>
        <w:t xml:space="preserve"> con la obligación de documentar todos los actos que derive</w:t>
      </w:r>
      <w:r>
        <w:rPr>
          <w:rFonts w:ascii="Palatino Linotype" w:hAnsi="Palatino Linotype" w:cs="Arial"/>
          <w:sz w:val="24"/>
          <w:szCs w:val="24"/>
        </w:rPr>
        <w:t>n</w:t>
      </w:r>
      <w:r w:rsidRPr="00C53419">
        <w:rPr>
          <w:rFonts w:ascii="Palatino Linotype" w:hAnsi="Palatino Linotype" w:cs="Arial"/>
          <w:sz w:val="24"/>
          <w:szCs w:val="24"/>
        </w:rPr>
        <w:t xml:space="preserve"> de sus atribuciones, funciones y competencia desde su origen</w:t>
      </w:r>
      <w:r>
        <w:rPr>
          <w:rFonts w:ascii="Palatino Linotype" w:hAnsi="Palatino Linotype" w:cs="Arial"/>
          <w:sz w:val="24"/>
          <w:szCs w:val="24"/>
        </w:rPr>
        <w:t>,</w:t>
      </w:r>
      <w:r w:rsidRPr="00C53419">
        <w:rPr>
          <w:rFonts w:ascii="Palatino Linotype" w:hAnsi="Palatino Linotype" w:cs="Arial"/>
          <w:sz w:val="24"/>
          <w:szCs w:val="24"/>
        </w:rPr>
        <w:t xml:space="preserve"> la eventual y reutilización de la información que generen, por lo tanto toda la información que </w:t>
      </w:r>
      <w:r>
        <w:rPr>
          <w:rFonts w:ascii="Palatino Linotype" w:hAnsi="Palatino Linotype" w:cs="Arial"/>
          <w:sz w:val="24"/>
          <w:szCs w:val="24"/>
        </w:rPr>
        <w:t>generen</w:t>
      </w:r>
      <w:r w:rsidRPr="00C53419">
        <w:rPr>
          <w:rFonts w:ascii="Palatino Linotype" w:hAnsi="Palatino Linotype" w:cs="Arial"/>
          <w:sz w:val="24"/>
          <w:szCs w:val="24"/>
        </w:rPr>
        <w:t xml:space="preserve">, </w:t>
      </w:r>
      <w:r>
        <w:rPr>
          <w:rFonts w:ascii="Palatino Linotype" w:hAnsi="Palatino Linotype" w:cs="Arial"/>
          <w:sz w:val="24"/>
          <w:szCs w:val="24"/>
        </w:rPr>
        <w:t>posean</w:t>
      </w:r>
      <w:r w:rsidRPr="00C53419">
        <w:rPr>
          <w:rFonts w:ascii="Palatino Linotype" w:hAnsi="Palatino Linotype" w:cs="Arial"/>
          <w:sz w:val="24"/>
          <w:szCs w:val="24"/>
        </w:rPr>
        <w:t xml:space="preserve"> y administre</w:t>
      </w:r>
      <w:r>
        <w:rPr>
          <w:rFonts w:ascii="Palatino Linotype" w:hAnsi="Palatino Linotype" w:cs="Arial"/>
          <w:sz w:val="24"/>
          <w:szCs w:val="24"/>
        </w:rPr>
        <w:t>n</w:t>
      </w:r>
      <w:r w:rsidRPr="00C53419">
        <w:rPr>
          <w:rFonts w:ascii="Palatino Linotype" w:hAnsi="Palatino Linotype" w:cs="Arial"/>
          <w:sz w:val="24"/>
          <w:szCs w:val="24"/>
        </w:rPr>
        <w:t xml:space="preserve">, es pública y accesible de manera permanente a cualquier persona, privilegiando el principio de máxima publicidad de la misma, por lo tanto esta debe ser proporcionada siempre y </w:t>
      </w:r>
      <w:r>
        <w:rPr>
          <w:rFonts w:ascii="Palatino Linotype" w:hAnsi="Palatino Linotype" w:cs="Arial"/>
          <w:sz w:val="24"/>
          <w:szCs w:val="24"/>
        </w:rPr>
        <w:t>cuando se halle en los archivos</w:t>
      </w:r>
      <w:r w:rsidRPr="00C53419">
        <w:rPr>
          <w:rFonts w:ascii="Palatino Linotype" w:hAnsi="Palatino Linotype" w:cs="Arial"/>
          <w:sz w:val="24"/>
          <w:szCs w:val="24"/>
        </w:rPr>
        <w:t xml:space="preserve"> documentales de los Sujeto</w:t>
      </w:r>
      <w:r>
        <w:rPr>
          <w:rFonts w:ascii="Palatino Linotype" w:hAnsi="Palatino Linotype" w:cs="Arial"/>
          <w:sz w:val="24"/>
          <w:szCs w:val="24"/>
        </w:rPr>
        <w:t>s</w:t>
      </w:r>
      <w:r w:rsidRPr="00C53419">
        <w:rPr>
          <w:rFonts w:ascii="Palatino Linotype" w:hAnsi="Palatino Linotype" w:cs="Arial"/>
          <w:sz w:val="24"/>
          <w:szCs w:val="24"/>
        </w:rPr>
        <w:t xml:space="preserve"> Obligados y en las condiciones que se encuentre, la cual no podrá sufrir modificaciones o procesamiento, no presentarla conforme a los intereses de los particulares, como de igual forma los sujeto</w:t>
      </w:r>
      <w:r>
        <w:rPr>
          <w:rFonts w:ascii="Palatino Linotype" w:hAnsi="Palatino Linotype" w:cs="Arial"/>
          <w:sz w:val="24"/>
          <w:szCs w:val="24"/>
        </w:rPr>
        <w:t>s</w:t>
      </w:r>
      <w:r w:rsidRPr="00C53419">
        <w:rPr>
          <w:rFonts w:ascii="Palatino Linotype" w:hAnsi="Palatino Linotype" w:cs="Arial"/>
          <w:sz w:val="24"/>
          <w:szCs w:val="24"/>
        </w:rPr>
        <w:t xml:space="preserve"> obligados no deberán de generar, resumir o efectuar cálculos o practicar investigaciones.</w:t>
      </w:r>
    </w:p>
    <w:p w:rsidR="00BC675B" w:rsidRDefault="00BC675B" w:rsidP="00776441">
      <w:pPr>
        <w:pStyle w:val="Prrafodelista"/>
        <w:spacing w:before="240" w:after="0" w:line="360" w:lineRule="auto"/>
        <w:ind w:left="426"/>
        <w:jc w:val="both"/>
        <w:rPr>
          <w:rFonts w:ascii="Palatino Linotype" w:hAnsi="Palatino Linotype" w:cs="Arial"/>
          <w:sz w:val="24"/>
          <w:szCs w:val="24"/>
        </w:rPr>
      </w:pPr>
    </w:p>
    <w:p w:rsidR="00D866D1" w:rsidRDefault="00C53419" w:rsidP="00776441">
      <w:pPr>
        <w:pStyle w:val="Prrafodelista"/>
        <w:numPr>
          <w:ilvl w:val="0"/>
          <w:numId w:val="1"/>
        </w:numPr>
        <w:spacing w:before="240" w:after="0" w:line="360" w:lineRule="auto"/>
        <w:ind w:left="426"/>
        <w:jc w:val="both"/>
        <w:rPr>
          <w:rFonts w:ascii="Palatino Linotype" w:hAnsi="Palatino Linotype" w:cs="Arial"/>
          <w:sz w:val="24"/>
          <w:szCs w:val="24"/>
        </w:rPr>
      </w:pPr>
      <w:r>
        <w:rPr>
          <w:rFonts w:ascii="Palatino Linotype" w:hAnsi="Palatino Linotype" w:cs="Arial"/>
          <w:sz w:val="24"/>
          <w:szCs w:val="24"/>
        </w:rPr>
        <w:t xml:space="preserve">De </w:t>
      </w:r>
      <w:r w:rsidRPr="00C53419">
        <w:rPr>
          <w:rFonts w:ascii="Palatino Linotype" w:hAnsi="Palatino Linotype" w:cs="Arial"/>
          <w:sz w:val="24"/>
          <w:szCs w:val="24"/>
        </w:rPr>
        <w:t>la misma forma, de acuerdo al contenido del artículo 160 de la Ley General de Transparencia y Acceso a la Información Pública que a la letra dispone:</w:t>
      </w:r>
    </w:p>
    <w:p w:rsidR="00BC675B" w:rsidRPr="00C53419" w:rsidRDefault="00C53419" w:rsidP="00A971ED">
      <w:pPr>
        <w:pStyle w:val="Sinespaciado"/>
        <w:ind w:left="851" w:right="567"/>
        <w:jc w:val="both"/>
        <w:rPr>
          <w:rFonts w:ascii="Palatino Linotype" w:hAnsi="Palatino Linotype"/>
          <w:i/>
        </w:rPr>
      </w:pPr>
      <w:r>
        <w:rPr>
          <w:rFonts w:ascii="Palatino Linotype" w:hAnsi="Palatino Linotype"/>
          <w:i/>
        </w:rPr>
        <w:t>“</w:t>
      </w:r>
      <w:r w:rsidRPr="00C53419">
        <w:rPr>
          <w:rFonts w:ascii="Palatino Linotype" w:hAnsi="Palatino Linotype"/>
          <w:b/>
          <w:i/>
        </w:rPr>
        <w:t>Artículo 160.</w:t>
      </w:r>
      <w:r w:rsidRPr="00C53419">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hAnsi="Palatino Linotype"/>
          <w:i/>
        </w:rPr>
        <w:t>”</w:t>
      </w:r>
    </w:p>
    <w:p w:rsidR="00C53419" w:rsidRDefault="00C53419" w:rsidP="00776441">
      <w:pPr>
        <w:pStyle w:val="Prrafodelista"/>
        <w:spacing w:before="240" w:after="0" w:line="360" w:lineRule="auto"/>
        <w:ind w:left="426"/>
        <w:jc w:val="both"/>
        <w:rPr>
          <w:rFonts w:ascii="Palatino Linotype" w:hAnsi="Palatino Linotype" w:cs="Arial"/>
          <w:sz w:val="24"/>
          <w:szCs w:val="24"/>
        </w:rPr>
      </w:pPr>
    </w:p>
    <w:p w:rsidR="00BC675B" w:rsidRDefault="00C53419" w:rsidP="00776441">
      <w:pPr>
        <w:pStyle w:val="Prrafodelista"/>
        <w:numPr>
          <w:ilvl w:val="0"/>
          <w:numId w:val="1"/>
        </w:numPr>
        <w:spacing w:before="240" w:after="0" w:line="360" w:lineRule="auto"/>
        <w:ind w:left="426"/>
        <w:jc w:val="both"/>
        <w:rPr>
          <w:rFonts w:ascii="Palatino Linotype" w:hAnsi="Palatino Linotype" w:cs="Arial"/>
          <w:sz w:val="24"/>
          <w:szCs w:val="24"/>
        </w:rPr>
      </w:pPr>
      <w:r>
        <w:rPr>
          <w:rFonts w:ascii="Palatino Linotype" w:hAnsi="Palatino Linotype" w:cs="Arial"/>
          <w:sz w:val="24"/>
          <w:szCs w:val="24"/>
        </w:rPr>
        <w:t xml:space="preserve">Es </w:t>
      </w:r>
      <w:r w:rsidRPr="00C53419">
        <w:rPr>
          <w:rFonts w:ascii="Palatino Linotype" w:hAnsi="Palatino Linotype" w:cs="Arial"/>
          <w:sz w:val="24"/>
          <w:szCs w:val="24"/>
        </w:rPr>
        <w:t>importante indicar que si bien el Instituto Nacional de Transparencia, Acceso a la Información y Protección de Datos Personales emitió un criterio</w:t>
      </w:r>
      <w:r>
        <w:rPr>
          <w:rStyle w:val="Refdenotaalpie"/>
          <w:rFonts w:ascii="Palatino Linotype" w:hAnsi="Palatino Linotype" w:cs="Arial"/>
          <w:sz w:val="24"/>
          <w:szCs w:val="24"/>
        </w:rPr>
        <w:footnoteReference w:id="6"/>
      </w:r>
      <w:r w:rsidRPr="00C53419">
        <w:rPr>
          <w:rFonts w:ascii="Palatino Linotype" w:hAnsi="Palatino Linotype" w:cs="Arial"/>
          <w:sz w:val="24"/>
          <w:szCs w:val="24"/>
        </w:rPr>
        <w:t xml:space="preserve"> en el cual </w:t>
      </w:r>
      <w:r w:rsidRPr="00C53419">
        <w:rPr>
          <w:rFonts w:ascii="Palatino Linotype" w:hAnsi="Palatino Linotype" w:cs="Arial"/>
          <w:sz w:val="24"/>
          <w:szCs w:val="24"/>
        </w:rPr>
        <w:lastRenderedPageBreak/>
        <w:t>señalan que las cuotas sindicales no están sujetas al escrutinio público ya que las mismas provienen de recursos privados que aportan los trabajadores afiliados, también lo es que este monto se puede obtener por otro vía, para ser más específicos, si mediante otra solicitud de información se solicita la nómina o el documento donde consten las percepciones de los servidores públicos sindicalizados o bien ya se cuenta con dicha información, el particular puede realizar el cálculo y obtener el monto que el Sujeto Obligado pretende clasificar y ante esta situación, a nada practico nos conduciría o serviría aprobar dicha clasificación, toda vez que mediante otros medios se puede acceder a la información.</w:t>
      </w:r>
    </w:p>
    <w:p w:rsidR="00BC675B" w:rsidRDefault="00BC675B" w:rsidP="00776441">
      <w:pPr>
        <w:pStyle w:val="Prrafodelista"/>
        <w:spacing w:before="240" w:after="0" w:line="360" w:lineRule="auto"/>
        <w:ind w:left="426"/>
        <w:jc w:val="both"/>
        <w:rPr>
          <w:rFonts w:ascii="Palatino Linotype" w:hAnsi="Palatino Linotype" w:cs="Arial"/>
          <w:sz w:val="24"/>
          <w:szCs w:val="24"/>
        </w:rPr>
      </w:pPr>
    </w:p>
    <w:p w:rsidR="00BC675B" w:rsidRDefault="00C53419" w:rsidP="00776441">
      <w:pPr>
        <w:pStyle w:val="Prrafodelista"/>
        <w:numPr>
          <w:ilvl w:val="0"/>
          <w:numId w:val="1"/>
        </w:numPr>
        <w:spacing w:before="240" w:after="0" w:line="360" w:lineRule="auto"/>
        <w:ind w:left="426"/>
        <w:jc w:val="both"/>
        <w:rPr>
          <w:rFonts w:ascii="Palatino Linotype" w:hAnsi="Palatino Linotype" w:cs="Arial"/>
          <w:sz w:val="24"/>
          <w:szCs w:val="24"/>
        </w:rPr>
      </w:pPr>
      <w:r>
        <w:rPr>
          <w:rFonts w:ascii="Palatino Linotype" w:hAnsi="Palatino Linotype" w:cs="Arial"/>
          <w:sz w:val="24"/>
          <w:szCs w:val="24"/>
        </w:rPr>
        <w:t xml:space="preserve">Así </w:t>
      </w:r>
      <w:r w:rsidRPr="00C53419">
        <w:rPr>
          <w:rFonts w:ascii="Palatino Linotype" w:hAnsi="Palatino Linotype" w:cs="Arial"/>
          <w:sz w:val="24"/>
          <w:szCs w:val="24"/>
        </w:rPr>
        <w:t>pues, de conformidad con la contradicción de tesis</w:t>
      </w:r>
      <w:r>
        <w:rPr>
          <w:rStyle w:val="Refdenotaalpie"/>
          <w:rFonts w:ascii="Palatino Linotype" w:hAnsi="Palatino Linotype" w:cs="Arial"/>
          <w:sz w:val="24"/>
          <w:szCs w:val="24"/>
        </w:rPr>
        <w:footnoteReference w:id="7"/>
      </w:r>
      <w:r w:rsidRPr="00C53419">
        <w:rPr>
          <w:rFonts w:ascii="Palatino Linotype" w:hAnsi="Palatino Linotype" w:cs="Arial"/>
          <w:sz w:val="24"/>
          <w:szCs w:val="24"/>
        </w:rPr>
        <w:t xml:space="preserve"> se aprecia que es información susceptible de darse a conocer terceras personas en virtud de que si bien el monto aportado corresponde de un particular también lo que es que no se estaría vulnerando el derecho a la privacidad de un particular, ya que no se estaría exponiendo a la persona como individuo lo que no haría identificable </w:t>
      </w:r>
      <w:r w:rsidRPr="00C53419">
        <w:rPr>
          <w:rFonts w:ascii="Palatino Linotype" w:hAnsi="Palatino Linotype" w:cs="Arial"/>
          <w:sz w:val="24"/>
          <w:szCs w:val="24"/>
        </w:rPr>
        <w:lastRenderedPageBreak/>
        <w:t>a la persona, sino únicamente el monto total que recibe el Sujeto Obligado, tal y como la siguiente Tesis Aislada (Constitucion</w:t>
      </w:r>
      <w:r>
        <w:rPr>
          <w:rFonts w:ascii="Palatino Linotype" w:hAnsi="Palatino Linotype" w:cs="Arial"/>
          <w:sz w:val="24"/>
          <w:szCs w:val="24"/>
        </w:rPr>
        <w:t>al, Administrativa)</w:t>
      </w:r>
      <w:r>
        <w:rPr>
          <w:rStyle w:val="Refdenotaalpie"/>
          <w:rFonts w:ascii="Palatino Linotype" w:hAnsi="Palatino Linotype" w:cs="Arial"/>
          <w:sz w:val="24"/>
          <w:szCs w:val="24"/>
        </w:rPr>
        <w:footnoteReference w:id="8"/>
      </w:r>
      <w:r w:rsidRPr="00C53419">
        <w:rPr>
          <w:rFonts w:ascii="Palatino Linotype" w:hAnsi="Palatino Linotype" w:cs="Arial"/>
          <w:sz w:val="24"/>
          <w:szCs w:val="24"/>
        </w:rPr>
        <w:t xml:space="preserve"> señala:</w:t>
      </w:r>
    </w:p>
    <w:p w:rsidR="00C53419" w:rsidRPr="00C53419" w:rsidRDefault="00C53419" w:rsidP="00A971ED">
      <w:pPr>
        <w:pStyle w:val="Sinespaciado"/>
        <w:ind w:left="851" w:right="567"/>
        <w:jc w:val="both"/>
        <w:rPr>
          <w:rFonts w:ascii="Palatino Linotype" w:hAnsi="Palatino Linotype"/>
          <w:i/>
        </w:rPr>
      </w:pPr>
      <w:r w:rsidRPr="00A971ED">
        <w:rPr>
          <w:rFonts w:ascii="Palatino Linotype" w:hAnsi="Palatino Linotype"/>
          <w:b/>
          <w:i/>
        </w:rPr>
        <w:t>INFORMACIÓN PÚBLICA. EL MONTO DE LAS CANTIDADES PAGADAS POR PETRÓLEOS MEXICANOS A SU SINDICATO EN TÉRMINOS DE LAS OBLIGACIONES ASUMIDAS EN SU CONTRATO COLECTIVO DE TRABAJO, DISTINTAS DE LOS DESCUENTOS QUE REALIZA AL SALARIO DE SUS TRABAJADORES POR CONCEPTO DE CUOTAS SINDICALES, CONSTITUYE UN DATO QUE SE DEBE DAR A CONOCER A LOS TERCEROS QUE LO SOLICITEN.</w:t>
      </w:r>
      <w:r>
        <w:rPr>
          <w:rFonts w:ascii="Palatino Linotype" w:hAnsi="Palatino Linotype"/>
          <w:i/>
        </w:rPr>
        <w:t xml:space="preserve"> “</w:t>
      </w:r>
      <w:r w:rsidRPr="00C53419">
        <w:rPr>
          <w:rFonts w:ascii="Palatino Linotype" w:hAnsi="Palatino Linotype"/>
          <w:i/>
        </w:rPr>
        <w:t xml:space="preserve">Al resolver la contradicción de tesis 333/2009, la Segunda Sala de la Suprema Corte de Justicia de la Nación estableció que para determinar si la información con que cuenta Petróleos Mexicanos, relativa a los montos que entrega a su sindicato es pública o no, se debe atender a su fuente de obtención: </w:t>
      </w:r>
      <w:r w:rsidRPr="00C53419">
        <w:rPr>
          <w:rFonts w:ascii="Palatino Linotype" w:hAnsi="Palatino Linotype"/>
          <w:b/>
          <w:i/>
        </w:rPr>
        <w:t>si su fuente se encuentra en el derecho público y es obtenida en ejercicio de sus funciones como ente público, entonces se debe considerar pública</w:t>
      </w:r>
      <w:r w:rsidRPr="00C53419">
        <w:rPr>
          <w:rFonts w:ascii="Palatino Linotype" w:hAnsi="Palatino Linotype"/>
          <w:i/>
        </w:rPr>
        <w:t xml:space="preserve">; pero si la fuente de obtención se halla en el derecho privado y en sus funciones como patrón, entonces se debe considerar privada por referirse a la vida interna del sindicato. Ahora, de la interpretación de los artículos 2o., 3o., penúltimo párrafo y 4o. de la Ley Orgánica de Petróleos Mexicanos y Organismos Subsidiarios, vigente hasta el 28 de noviembre de 2008, se advierte que Petróleos Mexicanos, como organismo descentralizado de la administración pública federal, cuenta con un patrimonio propio que puede estar constituido por diversos recursos y ser aplicado para el cumplimiento de los convenios, contratos o pactos que celebre con personas físicas o morales, siempre que se relacionen con su objeto, como ocurre con el Contrato Colectivo de Trabajo 2011-2013, celebrado con el Sindicato de Trabajadores Petroleros de la República Mexicana, de cuyo análisis se advierte que dicho organismo descentralizado asumió la obligación de pagar a su sindicato cantidades adicionales a las que debe entregar con motivo de los descuentos que realiza al salario de los trabajadores por concepto de cuotas sindicales, en términos del artículo 110, fracción VI, de la Ley Federal del Trabajo, cantidades que, por ende, </w:t>
      </w:r>
      <w:r w:rsidRPr="00C53419">
        <w:rPr>
          <w:rFonts w:ascii="Palatino Linotype" w:hAnsi="Palatino Linotype"/>
          <w:b/>
          <w:i/>
        </w:rPr>
        <w:lastRenderedPageBreak/>
        <w:t>se entregan con cargo a su patrimonio, sujeto a la obligación de rendición de cuentas</w:t>
      </w:r>
      <w:r w:rsidRPr="00C53419">
        <w:rPr>
          <w:rFonts w:ascii="Palatino Linotype" w:hAnsi="Palatino Linotype"/>
          <w:i/>
        </w:rPr>
        <w:t>. Por tanto, la información relativa a las cantidades distintas de las cuotas sindicales que Petróleos Mexicanos debe entregar a su sindicato con cargo a su patrimonio se debe considerar pública, en tanto se refiere a datos que provienen del ejercicio de sus funciones de derecho público, como es la aplicación de recursos para el cumplimiento de su objeto.</w:t>
      </w:r>
      <w:r>
        <w:rPr>
          <w:rFonts w:ascii="Palatino Linotype" w:hAnsi="Palatino Linotype"/>
          <w:i/>
        </w:rPr>
        <w:t>”</w:t>
      </w:r>
    </w:p>
    <w:p w:rsidR="00C53419" w:rsidRPr="00C53419" w:rsidRDefault="00C53419" w:rsidP="00A971ED">
      <w:pPr>
        <w:pStyle w:val="Sinespaciado"/>
        <w:ind w:left="851" w:right="567"/>
        <w:jc w:val="both"/>
        <w:rPr>
          <w:rFonts w:ascii="Palatino Linotype" w:hAnsi="Palatino Linotype"/>
          <w:i/>
        </w:rPr>
      </w:pPr>
    </w:p>
    <w:p w:rsidR="00C53419" w:rsidRPr="00C53419" w:rsidRDefault="00C53419" w:rsidP="00A971ED">
      <w:pPr>
        <w:pStyle w:val="Sinespaciado"/>
        <w:ind w:left="851" w:right="567"/>
        <w:jc w:val="both"/>
        <w:rPr>
          <w:rFonts w:ascii="Palatino Linotype" w:hAnsi="Palatino Linotype"/>
          <w:i/>
        </w:rPr>
      </w:pPr>
      <w:r w:rsidRPr="00C53419">
        <w:rPr>
          <w:rFonts w:ascii="Palatino Linotype" w:hAnsi="Palatino Linotype"/>
          <w:i/>
        </w:rPr>
        <w:t>PRIMER TRIBUNAL COLEGIADO EN MATERIA ADMINISTRATIVA DEL PRIMER CIRCUITO.</w:t>
      </w:r>
    </w:p>
    <w:p w:rsidR="00C53419" w:rsidRPr="00C53419" w:rsidRDefault="00C53419" w:rsidP="00A971ED">
      <w:pPr>
        <w:pStyle w:val="Sinespaciado"/>
        <w:ind w:left="851" w:right="567"/>
        <w:jc w:val="both"/>
        <w:rPr>
          <w:rFonts w:ascii="Palatino Linotype" w:hAnsi="Palatino Linotype"/>
          <w:i/>
        </w:rPr>
      </w:pPr>
    </w:p>
    <w:p w:rsidR="00C53419" w:rsidRPr="00C53419" w:rsidRDefault="00C53419" w:rsidP="00A971ED">
      <w:pPr>
        <w:pStyle w:val="Sinespaciado"/>
        <w:ind w:left="851" w:right="567"/>
        <w:jc w:val="both"/>
        <w:rPr>
          <w:rFonts w:ascii="Palatino Linotype" w:hAnsi="Palatino Linotype"/>
          <w:i/>
        </w:rPr>
      </w:pPr>
      <w:r w:rsidRPr="00C53419">
        <w:rPr>
          <w:rFonts w:ascii="Palatino Linotype" w:hAnsi="Palatino Linotype"/>
          <w:i/>
        </w:rPr>
        <w:t>Amparo en revisión 199/2013. Sindicato de Trabajadores Petroleros de la República Mexicana. 11 de julio de 2013. Unanimidad de votos. Ponente: Carlos Ronzon Sevilla. Secretaria: Jazmín Bonilla García.</w:t>
      </w:r>
    </w:p>
    <w:p w:rsidR="00C53419" w:rsidRPr="00C53419" w:rsidRDefault="00C53419" w:rsidP="00A971ED">
      <w:pPr>
        <w:pStyle w:val="Sinespaciado"/>
        <w:ind w:left="851" w:right="567"/>
        <w:jc w:val="both"/>
        <w:rPr>
          <w:rFonts w:ascii="Palatino Linotype" w:hAnsi="Palatino Linotype"/>
          <w:i/>
        </w:rPr>
      </w:pPr>
      <w:r w:rsidRPr="00C53419">
        <w:rPr>
          <w:rFonts w:ascii="Palatino Linotype" w:hAnsi="Palatino Linotype"/>
          <w:i/>
        </w:rPr>
        <w:t>Nota: La parte conducente de la ejecutoria relativa a la contradicción de tesis 333/2009 citada, aparece publicada en el Semanario Judicial de la Federación y su Gaceta, Novena Época, Tomo XXXIII, enero de 2011, página 1804.”</w:t>
      </w:r>
    </w:p>
    <w:p w:rsidR="00BC675B" w:rsidRPr="00C53419" w:rsidRDefault="00C53419" w:rsidP="00A971ED">
      <w:pPr>
        <w:pStyle w:val="Sinespaciado"/>
        <w:ind w:left="851" w:right="567"/>
        <w:jc w:val="both"/>
        <w:rPr>
          <w:rFonts w:ascii="Palatino Linotype" w:hAnsi="Palatino Linotype"/>
        </w:rPr>
      </w:pPr>
      <w:r w:rsidRPr="00C53419">
        <w:rPr>
          <w:rFonts w:ascii="Palatino Linotype" w:hAnsi="Palatino Linotype"/>
        </w:rPr>
        <w:t>(Énfasis añadido)</w:t>
      </w:r>
    </w:p>
    <w:p w:rsidR="00C53419" w:rsidRDefault="00C53419" w:rsidP="00776441">
      <w:pPr>
        <w:pStyle w:val="Prrafodelista"/>
        <w:spacing w:before="240" w:after="0" w:line="360" w:lineRule="auto"/>
        <w:ind w:left="426"/>
        <w:jc w:val="both"/>
        <w:rPr>
          <w:rFonts w:ascii="Palatino Linotype" w:hAnsi="Palatino Linotype" w:cs="Arial"/>
          <w:sz w:val="24"/>
          <w:szCs w:val="24"/>
        </w:rPr>
      </w:pPr>
    </w:p>
    <w:p w:rsidR="00C53419" w:rsidRPr="00A971ED" w:rsidRDefault="00C53419" w:rsidP="00A971ED">
      <w:pPr>
        <w:pStyle w:val="Prrafodelista"/>
        <w:numPr>
          <w:ilvl w:val="0"/>
          <w:numId w:val="1"/>
        </w:numPr>
        <w:spacing w:line="360" w:lineRule="auto"/>
        <w:ind w:left="426"/>
        <w:jc w:val="both"/>
        <w:rPr>
          <w:rFonts w:ascii="Palatino Linotype" w:hAnsi="Palatino Linotype" w:cs="Arial"/>
          <w:sz w:val="24"/>
          <w:szCs w:val="24"/>
        </w:rPr>
      </w:pPr>
      <w:r w:rsidRPr="00A971ED">
        <w:rPr>
          <w:rFonts w:ascii="Palatino Linotype" w:hAnsi="Palatino Linotype" w:cs="Arial"/>
          <w:sz w:val="24"/>
          <w:szCs w:val="24"/>
        </w:rPr>
        <w:t>Robustece lo anterior, lo señalado por la propia tesis, esto es, que la fuente o atribución se encuentra en el derecho público y es obtenida en ejercicio de sus funciones como ente público en virtud de estar contemplado en sus estatutos; además, es importante indicar que su información patrimonial no se encuentra amparada por el secreto fiscal que se impone a las autoridades fiscalizadoras, ya que su publicidad no lesiona el bien jurídico tutelado por dicho secreto.</w:t>
      </w:r>
    </w:p>
    <w:p w:rsidR="00C53419" w:rsidRPr="00C53419" w:rsidRDefault="00C53419" w:rsidP="00776441">
      <w:pPr>
        <w:pStyle w:val="Prrafodelista"/>
        <w:ind w:left="426"/>
        <w:rPr>
          <w:rFonts w:ascii="Palatino Linotype" w:hAnsi="Palatino Linotype" w:cs="Arial"/>
          <w:sz w:val="24"/>
          <w:szCs w:val="24"/>
        </w:rPr>
      </w:pPr>
    </w:p>
    <w:p w:rsidR="00BC675B" w:rsidRDefault="00C53419" w:rsidP="00776441">
      <w:pPr>
        <w:pStyle w:val="Prrafodelista"/>
        <w:numPr>
          <w:ilvl w:val="0"/>
          <w:numId w:val="1"/>
        </w:numPr>
        <w:spacing w:before="240" w:after="0" w:line="360" w:lineRule="auto"/>
        <w:ind w:left="426"/>
        <w:jc w:val="both"/>
        <w:rPr>
          <w:rFonts w:ascii="Palatino Linotype" w:hAnsi="Palatino Linotype" w:cs="Arial"/>
          <w:sz w:val="24"/>
          <w:szCs w:val="24"/>
        </w:rPr>
      </w:pPr>
      <w:r>
        <w:rPr>
          <w:rFonts w:ascii="Palatino Linotype" w:hAnsi="Palatino Linotype" w:cs="Arial"/>
          <w:sz w:val="24"/>
          <w:szCs w:val="24"/>
        </w:rPr>
        <w:t xml:space="preserve">Aunado </w:t>
      </w:r>
      <w:r w:rsidRPr="00C53419">
        <w:rPr>
          <w:rFonts w:ascii="Palatino Linotype" w:hAnsi="Palatino Linotype" w:cs="Arial"/>
          <w:sz w:val="24"/>
          <w:szCs w:val="24"/>
        </w:rPr>
        <w:t xml:space="preserve">a lo anterior, el tema de rendición de cuentas no debe de perderse de vista, ya que significa que las personas, los organismos y las organizaciones (de carácter público, privado y de la sociedad civil) tienen la responsabilidad del adecuado cumplimiento de sus funciones ; por lo tanto, </w:t>
      </w:r>
      <w:r w:rsidR="00776441">
        <w:rPr>
          <w:rFonts w:ascii="Palatino Linotype" w:hAnsi="Palatino Linotype" w:cs="Arial"/>
          <w:sz w:val="24"/>
          <w:szCs w:val="24"/>
        </w:rPr>
        <w:t>resultaría conveniente</w:t>
      </w:r>
      <w:r w:rsidRPr="00C53419">
        <w:rPr>
          <w:rFonts w:ascii="Palatino Linotype" w:hAnsi="Palatino Linotype" w:cs="Arial"/>
          <w:sz w:val="24"/>
          <w:szCs w:val="24"/>
        </w:rPr>
        <w:t xml:space="preserve"> </w:t>
      </w:r>
      <w:r w:rsidRPr="00C53419">
        <w:rPr>
          <w:rFonts w:ascii="Palatino Linotype" w:hAnsi="Palatino Linotype" w:cs="Arial"/>
          <w:sz w:val="24"/>
          <w:szCs w:val="24"/>
        </w:rPr>
        <w:lastRenderedPageBreak/>
        <w:t>ordenar el o los documentos donde conste o se advierta el monto total de los recursos obtenido</w:t>
      </w:r>
      <w:r w:rsidR="00776441">
        <w:rPr>
          <w:rFonts w:ascii="Palatino Linotype" w:hAnsi="Palatino Linotype" w:cs="Arial"/>
          <w:sz w:val="24"/>
          <w:szCs w:val="24"/>
        </w:rPr>
        <w:t>s</w:t>
      </w:r>
      <w:r w:rsidRPr="00C53419">
        <w:rPr>
          <w:rFonts w:ascii="Palatino Linotype" w:hAnsi="Palatino Linotype" w:cs="Arial"/>
          <w:sz w:val="24"/>
          <w:szCs w:val="24"/>
        </w:rPr>
        <w:t xml:space="preserve"> por concepto de cuotas sindicales de los años 2011, 2012, 2013, 2014, 2015, 2016, 2017 y del 01 de enero al 26 de abril d</w:t>
      </w:r>
      <w:r w:rsidR="00776441">
        <w:rPr>
          <w:rFonts w:ascii="Palatino Linotype" w:hAnsi="Palatino Linotype" w:cs="Arial"/>
          <w:sz w:val="24"/>
          <w:szCs w:val="24"/>
        </w:rPr>
        <w:t>e 2018.</w:t>
      </w:r>
    </w:p>
    <w:p w:rsidR="00CC4B90" w:rsidRPr="00CC4B90" w:rsidRDefault="00CC4B90" w:rsidP="00CC4B90">
      <w:pPr>
        <w:spacing w:before="240" w:after="0" w:line="360" w:lineRule="auto"/>
        <w:jc w:val="both"/>
        <w:rPr>
          <w:rFonts w:ascii="Palatino Linotype" w:hAnsi="Palatino Linotype" w:cs="Arial"/>
          <w:sz w:val="24"/>
          <w:szCs w:val="24"/>
        </w:rPr>
      </w:pPr>
    </w:p>
    <w:p w:rsidR="00627CAE" w:rsidRPr="00CC4B90" w:rsidRDefault="00627CAE" w:rsidP="00DC11A3">
      <w:pPr>
        <w:pStyle w:val="Ttulo1"/>
        <w:numPr>
          <w:ilvl w:val="0"/>
          <w:numId w:val="16"/>
        </w:numPr>
        <w:rPr>
          <w:rFonts w:ascii="Palatino Linotype" w:hAnsi="Palatino Linotype"/>
          <w:b/>
          <w:color w:val="auto"/>
          <w:sz w:val="24"/>
          <w:lang w:val="es-ES"/>
        </w:rPr>
      </w:pPr>
      <w:bookmarkStart w:id="6" w:name="_Toc521942231"/>
      <w:r w:rsidRPr="00CC4B90">
        <w:rPr>
          <w:rFonts w:ascii="Palatino Linotype" w:hAnsi="Palatino Linotype"/>
          <w:b/>
          <w:color w:val="auto"/>
          <w:sz w:val="24"/>
          <w:lang w:val="es-ES"/>
        </w:rPr>
        <w:t>Conclusión.</w:t>
      </w:r>
      <w:bookmarkEnd w:id="6"/>
    </w:p>
    <w:p w:rsidR="00B67CCF" w:rsidRPr="00CC4B90" w:rsidRDefault="00B67CCF" w:rsidP="00627CAE">
      <w:pPr>
        <w:pStyle w:val="Prrafodelista"/>
        <w:spacing w:before="240" w:after="0" w:line="360" w:lineRule="auto"/>
        <w:ind w:left="0"/>
        <w:jc w:val="both"/>
        <w:rPr>
          <w:rFonts w:ascii="Palatino Linotype" w:hAnsi="Palatino Linotype" w:cs="Arial"/>
          <w:b/>
          <w:sz w:val="24"/>
          <w:szCs w:val="24"/>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CC4B90">
        <w:rPr>
          <w:rFonts w:ascii="Palatino Linotype" w:hAnsi="Palatino Linotype" w:cs="Arial"/>
          <w:sz w:val="24"/>
          <w:szCs w:val="24"/>
          <w:lang w:val="es-ES"/>
        </w:rPr>
        <w:t>En virtud de lo anterior</w:t>
      </w:r>
      <w:r w:rsidR="00B67CCF" w:rsidRPr="00CC4B90">
        <w:rPr>
          <w:rFonts w:ascii="Palatino Linotype" w:hAnsi="Palatino Linotype" w:cs="Arial"/>
          <w:sz w:val="24"/>
          <w:szCs w:val="24"/>
          <w:lang w:val="es-ES"/>
        </w:rPr>
        <w:t>,</w:t>
      </w:r>
      <w:r w:rsidRPr="00CC4B90">
        <w:rPr>
          <w:rFonts w:ascii="Palatino Linotype" w:hAnsi="Palatino Linotype" w:cs="Arial"/>
          <w:sz w:val="24"/>
          <w:szCs w:val="24"/>
          <w:lang w:val="es-ES"/>
        </w:rPr>
        <w:t xml:space="preserve"> es que no puedo compartir los términos aprobados del resolutivo Cuarto ya que, </w:t>
      </w:r>
      <w:r w:rsidR="00A971ED">
        <w:rPr>
          <w:rFonts w:ascii="Palatino Linotype" w:hAnsi="Palatino Linotype" w:cs="Arial"/>
          <w:sz w:val="24"/>
          <w:szCs w:val="24"/>
          <w:lang w:val="es-ES"/>
        </w:rPr>
        <w:t>con base a lo anteriormente expuesto</w:t>
      </w:r>
      <w:r w:rsidRPr="00CC4B90">
        <w:rPr>
          <w:rFonts w:ascii="Palatino Linotype" w:hAnsi="Palatino Linotype" w:cs="Arial"/>
          <w:sz w:val="24"/>
          <w:szCs w:val="24"/>
          <w:lang w:val="es-ES"/>
        </w:rPr>
        <w:t>, el Sindicato también tiene derecho de acudir al juicio de</w:t>
      </w:r>
      <w:r w:rsidR="003416F2" w:rsidRPr="00CC4B90">
        <w:rPr>
          <w:rFonts w:ascii="Palatino Linotype" w:hAnsi="Palatino Linotype" w:cs="Arial"/>
          <w:sz w:val="24"/>
          <w:szCs w:val="24"/>
          <w:lang w:val="es-ES"/>
        </w:rPr>
        <w:t xml:space="preserve"> amparo si considera que la resolución emitida por el Pleno del Instituto </w:t>
      </w:r>
      <w:r w:rsidRPr="00CC4B90">
        <w:rPr>
          <w:rFonts w:ascii="Palatino Linotype" w:hAnsi="Palatino Linotype" w:cs="Arial"/>
          <w:sz w:val="24"/>
          <w:szCs w:val="24"/>
          <w:lang w:val="es-ES"/>
        </w:rPr>
        <w:t>le causa algún agravio, en virtud de que se trata de una persona moral no pública y, en esa condición, tiene el derecho de acceso a la justicia, indisponible para el Órgano Garante.</w:t>
      </w:r>
      <w:r w:rsidRPr="00CC4B90">
        <w:rPr>
          <w:rFonts w:ascii="Palatino Linotype" w:hAnsi="Palatino Linotype" w:cs="Arial"/>
          <w:sz w:val="24"/>
          <w:szCs w:val="24"/>
        </w:rPr>
        <w:t xml:space="preserve"> </w:t>
      </w:r>
    </w:p>
    <w:p w:rsidR="00796124" w:rsidRDefault="00796124" w:rsidP="00796124">
      <w:pPr>
        <w:pStyle w:val="Prrafodelista"/>
        <w:spacing w:before="240" w:after="0" w:line="360" w:lineRule="auto"/>
        <w:ind w:left="426"/>
        <w:jc w:val="both"/>
        <w:rPr>
          <w:rFonts w:ascii="Palatino Linotype" w:hAnsi="Palatino Linotype" w:cs="Arial"/>
          <w:sz w:val="24"/>
          <w:szCs w:val="24"/>
        </w:rPr>
      </w:pPr>
    </w:p>
    <w:p w:rsidR="00796124" w:rsidRDefault="00796124" w:rsidP="00796124">
      <w:pPr>
        <w:pStyle w:val="Prrafodelista"/>
        <w:spacing w:before="240" w:after="0" w:line="360" w:lineRule="auto"/>
        <w:ind w:left="426"/>
        <w:jc w:val="both"/>
        <w:rPr>
          <w:rFonts w:ascii="Palatino Linotype" w:hAnsi="Palatino Linotype" w:cs="Arial"/>
          <w:sz w:val="24"/>
          <w:szCs w:val="24"/>
        </w:rPr>
      </w:pPr>
    </w:p>
    <w:p w:rsidR="00796124" w:rsidRDefault="00796124" w:rsidP="00796124">
      <w:pPr>
        <w:pStyle w:val="Prrafodelista"/>
        <w:spacing w:before="240" w:after="0" w:line="360" w:lineRule="auto"/>
        <w:ind w:left="426"/>
        <w:jc w:val="both"/>
        <w:rPr>
          <w:rFonts w:ascii="Palatino Linotype" w:hAnsi="Palatino Linotype" w:cs="Arial"/>
          <w:sz w:val="24"/>
          <w:szCs w:val="24"/>
        </w:rPr>
      </w:pPr>
    </w:p>
    <w:p w:rsidR="00796124" w:rsidRDefault="00796124" w:rsidP="00796124">
      <w:pPr>
        <w:pStyle w:val="Prrafodelista"/>
        <w:spacing w:before="240" w:after="0" w:line="360" w:lineRule="auto"/>
        <w:ind w:left="426"/>
        <w:jc w:val="both"/>
        <w:rPr>
          <w:rFonts w:ascii="Palatino Linotype" w:hAnsi="Palatino Linotype" w:cs="Arial"/>
          <w:sz w:val="24"/>
          <w:szCs w:val="24"/>
        </w:rPr>
      </w:pPr>
    </w:p>
    <w:p w:rsidR="00796124" w:rsidRDefault="00796124" w:rsidP="00796124">
      <w:pPr>
        <w:pStyle w:val="Prrafodelista"/>
        <w:spacing w:before="240" w:after="0" w:line="360" w:lineRule="auto"/>
        <w:ind w:left="426"/>
        <w:jc w:val="both"/>
        <w:rPr>
          <w:rFonts w:ascii="Palatino Linotype" w:hAnsi="Palatino Linotype" w:cs="Arial"/>
          <w:sz w:val="24"/>
          <w:szCs w:val="24"/>
        </w:rPr>
      </w:pPr>
    </w:p>
    <w:p w:rsidR="00796124" w:rsidRDefault="00796124" w:rsidP="00796124">
      <w:pPr>
        <w:pStyle w:val="Prrafodelista"/>
        <w:spacing w:before="240" w:after="0" w:line="360" w:lineRule="auto"/>
        <w:ind w:left="426"/>
        <w:jc w:val="both"/>
        <w:rPr>
          <w:rFonts w:ascii="Palatino Linotype" w:hAnsi="Palatino Linotype" w:cs="Arial"/>
          <w:sz w:val="24"/>
          <w:szCs w:val="24"/>
        </w:rPr>
      </w:pPr>
    </w:p>
    <w:p w:rsidR="00796124" w:rsidRDefault="00796124" w:rsidP="00796124">
      <w:pPr>
        <w:pStyle w:val="Prrafodelista"/>
        <w:spacing w:before="240" w:after="0" w:line="360" w:lineRule="auto"/>
        <w:ind w:left="426"/>
        <w:jc w:val="both"/>
        <w:rPr>
          <w:rFonts w:ascii="Palatino Linotype" w:hAnsi="Palatino Linotype" w:cs="Arial"/>
          <w:sz w:val="24"/>
          <w:szCs w:val="24"/>
        </w:rPr>
      </w:pPr>
    </w:p>
    <w:p w:rsidR="00796124" w:rsidRDefault="00796124" w:rsidP="00796124">
      <w:pPr>
        <w:pStyle w:val="Prrafodelista"/>
        <w:spacing w:before="240" w:after="0" w:line="360" w:lineRule="auto"/>
        <w:ind w:left="426"/>
        <w:jc w:val="both"/>
        <w:rPr>
          <w:rFonts w:ascii="Palatino Linotype" w:hAnsi="Palatino Linotype" w:cs="Arial"/>
          <w:sz w:val="24"/>
          <w:szCs w:val="24"/>
        </w:rPr>
      </w:pPr>
    </w:p>
    <w:p w:rsidR="00A971ED" w:rsidRDefault="00A971ED" w:rsidP="00A971ED">
      <w:pPr>
        <w:pStyle w:val="Prrafodelista"/>
        <w:spacing w:before="240" w:after="0" w:line="360" w:lineRule="auto"/>
        <w:ind w:left="426"/>
        <w:jc w:val="both"/>
        <w:rPr>
          <w:rFonts w:ascii="Palatino Linotype" w:hAnsi="Palatino Linotype" w:cs="Arial"/>
          <w:sz w:val="24"/>
          <w:szCs w:val="24"/>
        </w:rPr>
      </w:pPr>
    </w:p>
    <w:p w:rsidR="00B67CCF" w:rsidRDefault="00A971ED" w:rsidP="00D63660">
      <w:pPr>
        <w:pStyle w:val="Prrafodelista"/>
        <w:numPr>
          <w:ilvl w:val="0"/>
          <w:numId w:val="1"/>
        </w:numPr>
        <w:spacing w:before="240" w:after="0" w:line="360" w:lineRule="auto"/>
        <w:ind w:left="426"/>
        <w:jc w:val="both"/>
        <w:rPr>
          <w:rFonts w:ascii="Palatino Linotype" w:hAnsi="Palatino Linotype" w:cs="Arial"/>
          <w:sz w:val="24"/>
          <w:szCs w:val="24"/>
        </w:rPr>
      </w:pPr>
      <w:r w:rsidRPr="00D63660">
        <w:rPr>
          <w:rFonts w:ascii="Palatino Linotype" w:hAnsi="Palatino Linotype" w:cs="Arial"/>
          <w:sz w:val="24"/>
          <w:szCs w:val="24"/>
        </w:rPr>
        <w:lastRenderedPageBreak/>
        <w:t>Asimismo al encontrarse de manifiesto que la información requerida por la particular consistente en el monto total de los recursos recibidos por concepto de aportaciones de sus afiliados</w:t>
      </w:r>
      <w:r w:rsidR="00D63660" w:rsidRPr="00D63660">
        <w:rPr>
          <w:rFonts w:ascii="Palatino Linotype" w:hAnsi="Palatino Linotype" w:cs="Arial"/>
          <w:sz w:val="24"/>
          <w:szCs w:val="24"/>
        </w:rPr>
        <w:t xml:space="preserve"> puede ser accesada mediante </w:t>
      </w:r>
      <w:r w:rsidR="00D63660">
        <w:rPr>
          <w:rFonts w:ascii="Palatino Linotype" w:hAnsi="Palatino Linotype" w:cs="Arial"/>
          <w:sz w:val="24"/>
          <w:szCs w:val="24"/>
        </w:rPr>
        <w:t xml:space="preserve">diversas solicitudes de información en las que solicite las percepciones de los servidores públicos agremiados al Sindicato </w:t>
      </w:r>
      <w:r w:rsidR="00D63660" w:rsidRPr="00D63660">
        <w:rPr>
          <w:rFonts w:ascii="Palatino Linotype" w:hAnsi="Palatino Linotype" w:cs="Arial"/>
          <w:sz w:val="24"/>
          <w:szCs w:val="24"/>
        </w:rPr>
        <w:t>Único de Trabajadores de Los Poderes, Municipios e Instituciones Descentralizadas del Estado de México</w:t>
      </w:r>
      <w:r w:rsidR="00D63660">
        <w:rPr>
          <w:rFonts w:ascii="Palatino Linotype" w:hAnsi="Palatino Linotype" w:cs="Arial"/>
          <w:sz w:val="24"/>
          <w:szCs w:val="24"/>
        </w:rPr>
        <w:t>, la misma no debería ser susceptible de clasificarse bajo las consideraciones previamente vertidas.</w:t>
      </w:r>
    </w:p>
    <w:p w:rsidR="006A7929" w:rsidRDefault="006A7929" w:rsidP="00627CAE">
      <w:pPr>
        <w:spacing w:line="360" w:lineRule="auto"/>
        <w:rPr>
          <w:rFonts w:ascii="Palatino Linotype" w:hAnsi="Palatino Linotype" w:cs="Arial"/>
          <w:sz w:val="24"/>
          <w:szCs w:val="24"/>
        </w:rPr>
      </w:pPr>
    </w:p>
    <w:p w:rsidR="006A7929" w:rsidRDefault="006A7929" w:rsidP="00627CAE">
      <w:pPr>
        <w:spacing w:line="360" w:lineRule="auto"/>
        <w:rPr>
          <w:rFonts w:ascii="Palatino Linotype" w:hAnsi="Palatino Linotype" w:cs="Arial"/>
          <w:sz w:val="24"/>
          <w:szCs w:val="24"/>
        </w:rPr>
      </w:pPr>
    </w:p>
    <w:p w:rsidR="00B67CCF" w:rsidRPr="0037358E" w:rsidRDefault="00B67CCF" w:rsidP="00627CAE">
      <w:pPr>
        <w:spacing w:line="360" w:lineRule="auto"/>
        <w:rPr>
          <w:rFonts w:ascii="Palatino Linotype" w:hAnsi="Palatino Linotype" w:cs="Arial"/>
          <w:sz w:val="24"/>
          <w:szCs w:val="24"/>
        </w:rPr>
      </w:pPr>
    </w:p>
    <w:p w:rsidR="00627CAE" w:rsidRPr="000C1EE1" w:rsidRDefault="00627CAE" w:rsidP="00627CAE">
      <w:pPr>
        <w:spacing w:line="36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JOSÉ GUADALUPE LUNA HERNÁNDEZ</w:t>
      </w:r>
    </w:p>
    <w:p w:rsidR="00627CAE" w:rsidRDefault="00627CAE" w:rsidP="00627CAE">
      <w:pPr>
        <w:spacing w:line="36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COMISIONADO</w:t>
      </w:r>
    </w:p>
    <w:p w:rsidR="00CC4B90" w:rsidRDefault="006A7929" w:rsidP="00796124">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(Rubrica)</w:t>
      </w:r>
    </w:p>
    <w:p w:rsidR="00796124" w:rsidRDefault="00796124" w:rsidP="00796124">
      <w:pPr>
        <w:spacing w:line="360" w:lineRule="auto"/>
        <w:jc w:val="center"/>
        <w:rPr>
          <w:rFonts w:ascii="Palatino Linotype" w:eastAsia="Calibri" w:hAnsi="Palatino Linotype" w:cs="Arial"/>
          <w:b/>
          <w:sz w:val="24"/>
          <w:szCs w:val="24"/>
        </w:rPr>
      </w:pPr>
    </w:p>
    <w:p w:rsidR="00B75AFA" w:rsidRDefault="00B67CCF" w:rsidP="00B67CCF">
      <w:pPr>
        <w:spacing w:line="360" w:lineRule="auto"/>
        <w:rPr>
          <w:rFonts w:ascii="Palatino Linotype" w:eastAsia="Calibri" w:hAnsi="Palatino Linotype" w:cs="Arial"/>
          <w:sz w:val="20"/>
          <w:szCs w:val="20"/>
        </w:rPr>
      </w:pPr>
      <w:r>
        <w:rPr>
          <w:rFonts w:ascii="Palatino Linotype" w:eastAsia="Calibri" w:hAnsi="Palatino Linotype" w:cs="Arial"/>
          <w:b/>
          <w:sz w:val="24"/>
          <w:szCs w:val="24"/>
        </w:rPr>
        <w:t>JGLH/</w:t>
      </w:r>
      <w:r w:rsidR="00CC4B90">
        <w:rPr>
          <w:rFonts w:ascii="Palatino Linotype" w:eastAsia="Calibri" w:hAnsi="Palatino Linotype" w:cs="Arial"/>
          <w:b/>
          <w:sz w:val="24"/>
          <w:szCs w:val="24"/>
        </w:rPr>
        <w:t>JAAV</w:t>
      </w:r>
    </w:p>
    <w:sectPr w:rsidR="00B75AFA"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1FB" w:rsidRDefault="00B111FB" w:rsidP="00E82D3D">
      <w:pPr>
        <w:spacing w:after="0" w:line="240" w:lineRule="auto"/>
      </w:pPr>
      <w:r>
        <w:separator/>
      </w:r>
    </w:p>
  </w:endnote>
  <w:endnote w:type="continuationSeparator" w:id="0">
    <w:p w:rsidR="00B111FB" w:rsidRDefault="00B111FB"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C1EE1" w:rsidRDefault="000C1E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358B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358B6">
              <w:rPr>
                <w:b/>
                <w:bCs/>
                <w:noProof/>
              </w:rPr>
              <w:t>24</w:t>
            </w:r>
            <w:r>
              <w:rPr>
                <w:b/>
                <w:bCs/>
                <w:sz w:val="24"/>
                <w:szCs w:val="24"/>
              </w:rPr>
              <w:fldChar w:fldCharType="end"/>
            </w:r>
          </w:p>
        </w:sdtContent>
      </w:sdt>
    </w:sdtContent>
  </w:sdt>
  <w:p w:rsidR="000C1EE1" w:rsidRDefault="000C1EE1"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1FB" w:rsidRDefault="00B111FB" w:rsidP="00E82D3D">
      <w:pPr>
        <w:spacing w:after="0" w:line="240" w:lineRule="auto"/>
      </w:pPr>
      <w:r>
        <w:separator/>
      </w:r>
    </w:p>
  </w:footnote>
  <w:footnote w:type="continuationSeparator" w:id="0">
    <w:p w:rsidR="00B111FB" w:rsidRDefault="00B111FB" w:rsidP="00E82D3D">
      <w:pPr>
        <w:spacing w:after="0" w:line="240" w:lineRule="auto"/>
      </w:pPr>
      <w:r>
        <w:continuationSeparator/>
      </w:r>
    </w:p>
  </w:footnote>
  <w:footnote w:id="1">
    <w:p w:rsidR="00627CAE" w:rsidRPr="001D44BA" w:rsidRDefault="00627CAE" w:rsidP="00627CAE">
      <w:pPr>
        <w:pStyle w:val="Textonotapie"/>
        <w:jc w:val="both"/>
        <w:rPr>
          <w:lang w:val="es-ES"/>
        </w:rPr>
      </w:pPr>
      <w:r>
        <w:rPr>
          <w:rStyle w:val="Refdenotaalpie"/>
        </w:rPr>
        <w:footnoteRef/>
      </w:r>
      <w:r>
        <w:t xml:space="preserve"> Resolución </w:t>
      </w:r>
      <w:r w:rsidRPr="008508E5">
        <w:t>02723/INFOEM/IP/RR/2016</w:t>
      </w:r>
      <w:r>
        <w:t xml:space="preserve">, aprobada por unanimidad de votos en la </w:t>
      </w:r>
      <w:r w:rsidRPr="008508E5">
        <w:t>trigésima octava  sesión ordinaria celebrada el diecinueve (19) de octubre de dos mil dieciséis</w:t>
      </w:r>
      <w:r>
        <w:t xml:space="preserve">. Resolución </w:t>
      </w:r>
      <w:r w:rsidRPr="008508E5">
        <w:t>03118/INFOEM/IP/RR/2016</w:t>
      </w:r>
      <w:r>
        <w:t xml:space="preserve"> aprobada por unanimidad de votos en la </w:t>
      </w:r>
      <w:r w:rsidRPr="008508E5">
        <w:t>cuadragésima segunda sesión ordinaria celebrada el dieciséis (16) de noviembre de dos mil dieciséis</w:t>
      </w:r>
      <w:r>
        <w:t xml:space="preserve">. Resolución </w:t>
      </w:r>
      <w:r w:rsidRPr="000C6D26">
        <w:t>03478/INFOEM/IP/RR/2016</w:t>
      </w:r>
      <w:r>
        <w:t xml:space="preserve"> aprobada por unanimidad de votos en la Segunda sesión ordinaria celebrada el dieciocho (18) de enero de dos mil diecisiete. </w:t>
      </w:r>
    </w:p>
  </w:footnote>
  <w:footnote w:id="2">
    <w:p w:rsidR="00627CAE" w:rsidRDefault="00627CAE" w:rsidP="00627CAE">
      <w:pPr>
        <w:pStyle w:val="Textonotapie"/>
        <w:jc w:val="both"/>
      </w:pPr>
      <w:r>
        <w:rPr>
          <w:rStyle w:val="Refdenotaalpie"/>
        </w:rPr>
        <w:footnoteRef/>
      </w:r>
      <w:r>
        <w:t xml:space="preserve"> Salazar Ugarte, Pedro. “</w:t>
      </w:r>
      <w:r w:rsidRPr="00F7738C">
        <w:rPr>
          <w:i/>
        </w:rPr>
        <w:t>Hacia el Sistema Nacional de Transparencia. ¿Vinculatorias, Definitivas e Inatacables?”</w:t>
      </w:r>
      <w:r>
        <w:t xml:space="preserve"> Instituto de Investigaciones Jurídicas. Universidad Nacional Autónoma de México. Seminario Universitario de Transparencia. Págs. 87-88 México 2016.</w:t>
      </w:r>
    </w:p>
  </w:footnote>
  <w:footnote w:id="3">
    <w:p w:rsidR="00627CAE" w:rsidRDefault="00627CAE" w:rsidP="00627CAE">
      <w:pPr>
        <w:pStyle w:val="Textonotapie"/>
      </w:pPr>
      <w:r>
        <w:rPr>
          <w:rStyle w:val="Refdenotaalpie"/>
        </w:rPr>
        <w:footnoteRef/>
      </w:r>
      <w:r>
        <w:t xml:space="preserve"> Información recogida de la Real Academia Española, </w:t>
      </w:r>
      <w:hyperlink r:id="rId1" w:history="1">
        <w:r w:rsidRPr="009E1FDC">
          <w:rPr>
            <w:rStyle w:val="Hipervnculo"/>
          </w:rPr>
          <w:t>http://www.rae.es/</w:t>
        </w:r>
      </w:hyperlink>
      <w:r>
        <w:t xml:space="preserve">  el día veintiocho de abril del año 2017. </w:t>
      </w:r>
    </w:p>
  </w:footnote>
  <w:footnote w:id="4">
    <w:p w:rsidR="00627CAE" w:rsidRPr="00236D89" w:rsidRDefault="00627CAE" w:rsidP="00627CAE">
      <w:pPr>
        <w:pStyle w:val="Textonotapie"/>
        <w:rPr>
          <w:lang w:val="es-ES"/>
        </w:rPr>
      </w:pPr>
      <w:r>
        <w:rPr>
          <w:rStyle w:val="Refdenotaalpie"/>
        </w:rPr>
        <w:footnoteRef/>
      </w:r>
      <w:r>
        <w:t xml:space="preserve"> </w:t>
      </w:r>
      <w:r>
        <w:rPr>
          <w:lang w:val="es-ES"/>
        </w:rPr>
        <w:t>Corte Interamericana de Derechos Humanos. Caso Castañega Gutman vs. México, sentencia de excepciones preliminares, fondo, reparaciones y costas, del 06 de agosto de 2008. Párrs.100 y 101.</w:t>
      </w:r>
    </w:p>
  </w:footnote>
  <w:footnote w:id="5">
    <w:p w:rsidR="00627CAE" w:rsidRDefault="00627CAE" w:rsidP="00627CAE">
      <w:pPr>
        <w:pStyle w:val="Textonotapie"/>
      </w:pPr>
      <w:r>
        <w:rPr>
          <w:rStyle w:val="Refdenotaalpie"/>
        </w:rPr>
        <w:footnoteRef/>
      </w:r>
      <w:r>
        <w:t xml:space="preserve"> </w:t>
      </w:r>
      <w:r w:rsidRPr="00F7738C">
        <w:t xml:space="preserve">Salazar Ugarte, Pedro. “Hacia el Sistema Nacional de Transparencia. ¿Vinculatorias, Definitivas e Inatacables?”… </w:t>
      </w:r>
      <w:r>
        <w:t xml:space="preserve">Pág. 89. </w:t>
      </w:r>
      <w:r w:rsidRPr="00F7738C">
        <w:t>México 2016.</w:t>
      </w:r>
    </w:p>
  </w:footnote>
  <w:footnote w:id="6">
    <w:p w:rsidR="00C53419" w:rsidRDefault="00C53419" w:rsidP="00C53419">
      <w:pPr>
        <w:pStyle w:val="Textonotapie"/>
      </w:pPr>
      <w:r>
        <w:rPr>
          <w:rStyle w:val="Refdenotaalpie"/>
        </w:rPr>
        <w:footnoteRef/>
      </w:r>
      <w:r>
        <w:t xml:space="preserve"> Criterio </w:t>
      </w:r>
      <w:r w:rsidRPr="0034711E">
        <w:t>09/17</w:t>
      </w:r>
    </w:p>
    <w:p w:rsidR="00C53419" w:rsidRDefault="00C53419" w:rsidP="00C53419">
      <w:pPr>
        <w:pStyle w:val="Textonotapie"/>
      </w:pPr>
      <w:r w:rsidRPr="0034711E">
        <w:t>Cuotas sindicales. No están sujetas al escrutinio público.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footnote>
  <w:footnote w:id="7">
    <w:p w:rsidR="00C53419" w:rsidRDefault="00C53419">
      <w:pPr>
        <w:pStyle w:val="Textonotapie"/>
      </w:pPr>
      <w:r>
        <w:rPr>
          <w:rStyle w:val="Refdenotaalpie"/>
        </w:rPr>
        <w:footnoteRef/>
      </w:r>
      <w:r>
        <w:t xml:space="preserve"> Sanchez-Castañeda, Alfredo; Alcances de la reforma constitucional resespecto del Derecho de Acceso a la Informacion en Sindicatos, </w:t>
      </w:r>
      <w:r w:rsidRPr="006C0776">
        <w:t>Instituto Nacional de Transparencia, Acceso a la Información y Protección de Datos Personales</w:t>
      </w:r>
      <w:r>
        <w:t>, México, 2016.</w:t>
      </w:r>
    </w:p>
  </w:footnote>
  <w:footnote w:id="8">
    <w:p w:rsidR="00C53419" w:rsidRDefault="00C53419">
      <w:pPr>
        <w:pStyle w:val="Textonotapie"/>
      </w:pPr>
      <w:r>
        <w:rPr>
          <w:rStyle w:val="Refdenotaalpie"/>
        </w:rPr>
        <w:footnoteRef/>
      </w:r>
      <w:r>
        <w:t xml:space="preserve"> Consultable en: </w:t>
      </w:r>
      <w:r w:rsidRPr="00C53419">
        <w:rPr>
          <w:rStyle w:val="Hipervnculo"/>
          <w:color w:val="auto"/>
          <w:u w:val="none"/>
        </w:rPr>
        <w:t>https://sjf.scjn.gob.mx/SJFSist/paginas/DetalleGeneralV2.aspx?Epoca=1e3e10000000000&amp;Apendice=1000000000000&amp;Expresion=333%2F2009&amp;Dominio=Rubro,Texto&amp;TA_TJ=2&amp;Orden=1&amp;Clase=DetalleTesisBL&amp;NumTE=1&amp;Epp=20&amp;Desde=-100&amp;Hasta=-100&amp;Index=0&amp;InstanciasSeleccionadas=6,1,2,50,7&amp;ID=2004708&amp;Hit=1&amp;IDs=2004708&amp;tipoTesis=&amp;Semanario=0&amp;tabla=&amp;Referencia=&amp;Tema</w:t>
      </w:r>
      <w:r w:rsidRPr="00C5341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B111F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B111F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C1EE1" w:rsidRDefault="000C1E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B111F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0B76"/>
    <w:multiLevelType w:val="hybridMultilevel"/>
    <w:tmpl w:val="38F45DBE"/>
    <w:lvl w:ilvl="0" w:tplc="8D2C4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6147D"/>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A52428"/>
    <w:multiLevelType w:val="hybridMultilevel"/>
    <w:tmpl w:val="59DEF00E"/>
    <w:lvl w:ilvl="0" w:tplc="FF643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0B4CEA"/>
    <w:multiLevelType w:val="hybridMultilevel"/>
    <w:tmpl w:val="EE6C3978"/>
    <w:lvl w:ilvl="0" w:tplc="463E1862">
      <w:start w:val="4"/>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7A7D6B21"/>
    <w:multiLevelType w:val="hybridMultilevel"/>
    <w:tmpl w:val="23F6DA10"/>
    <w:lvl w:ilvl="0" w:tplc="90D01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1"/>
  </w:num>
  <w:num w:numId="5">
    <w:abstractNumId w:val="10"/>
  </w:num>
  <w:num w:numId="6">
    <w:abstractNumId w:val="2"/>
  </w:num>
  <w:num w:numId="7">
    <w:abstractNumId w:val="14"/>
  </w:num>
  <w:num w:numId="8">
    <w:abstractNumId w:val="9"/>
  </w:num>
  <w:num w:numId="9">
    <w:abstractNumId w:val="13"/>
  </w:num>
  <w:num w:numId="10">
    <w:abstractNumId w:val="5"/>
  </w:num>
  <w:num w:numId="11">
    <w:abstractNumId w:val="12"/>
  </w:num>
  <w:num w:numId="12">
    <w:abstractNumId w:val="4"/>
  </w:num>
  <w:num w:numId="13">
    <w:abstractNumId w:val="0"/>
  </w:num>
  <w:num w:numId="14">
    <w:abstractNumId w:val="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11CA3"/>
    <w:rsid w:val="0009550C"/>
    <w:rsid w:val="00096CC2"/>
    <w:rsid w:val="000C1EE1"/>
    <w:rsid w:val="00101869"/>
    <w:rsid w:val="00102360"/>
    <w:rsid w:val="0010753A"/>
    <w:rsid w:val="001240A5"/>
    <w:rsid w:val="001369DC"/>
    <w:rsid w:val="0017326A"/>
    <w:rsid w:val="001B19B4"/>
    <w:rsid w:val="001D64D3"/>
    <w:rsid w:val="001F7C80"/>
    <w:rsid w:val="002275B6"/>
    <w:rsid w:val="00232437"/>
    <w:rsid w:val="002E0BA4"/>
    <w:rsid w:val="002E3ED2"/>
    <w:rsid w:val="002F6C44"/>
    <w:rsid w:val="002F79FF"/>
    <w:rsid w:val="003258B6"/>
    <w:rsid w:val="003416F2"/>
    <w:rsid w:val="00365A30"/>
    <w:rsid w:val="00384DBA"/>
    <w:rsid w:val="00400EB2"/>
    <w:rsid w:val="00401E8B"/>
    <w:rsid w:val="00447FCF"/>
    <w:rsid w:val="0048628E"/>
    <w:rsid w:val="004B6A69"/>
    <w:rsid w:val="00550FAF"/>
    <w:rsid w:val="005556CA"/>
    <w:rsid w:val="005F30BC"/>
    <w:rsid w:val="00617ACF"/>
    <w:rsid w:val="00627CAE"/>
    <w:rsid w:val="006A7929"/>
    <w:rsid w:val="006B54EE"/>
    <w:rsid w:val="006B6E4B"/>
    <w:rsid w:val="006F0A01"/>
    <w:rsid w:val="0070347F"/>
    <w:rsid w:val="00776441"/>
    <w:rsid w:val="00796124"/>
    <w:rsid w:val="00797A31"/>
    <w:rsid w:val="007A2AA5"/>
    <w:rsid w:val="007B2715"/>
    <w:rsid w:val="007D037D"/>
    <w:rsid w:val="00807E40"/>
    <w:rsid w:val="0083750E"/>
    <w:rsid w:val="00861BB5"/>
    <w:rsid w:val="008A4C72"/>
    <w:rsid w:val="008B3418"/>
    <w:rsid w:val="009623E8"/>
    <w:rsid w:val="009765C3"/>
    <w:rsid w:val="009A2D39"/>
    <w:rsid w:val="009B6293"/>
    <w:rsid w:val="009E14DE"/>
    <w:rsid w:val="00A16FEB"/>
    <w:rsid w:val="00A24423"/>
    <w:rsid w:val="00A727D5"/>
    <w:rsid w:val="00A971ED"/>
    <w:rsid w:val="00AE23AA"/>
    <w:rsid w:val="00B066EB"/>
    <w:rsid w:val="00B111FB"/>
    <w:rsid w:val="00B15765"/>
    <w:rsid w:val="00B46E35"/>
    <w:rsid w:val="00B55534"/>
    <w:rsid w:val="00B57C0A"/>
    <w:rsid w:val="00B67CCF"/>
    <w:rsid w:val="00B75AFA"/>
    <w:rsid w:val="00B9285A"/>
    <w:rsid w:val="00B92C8E"/>
    <w:rsid w:val="00BB488C"/>
    <w:rsid w:val="00BC675B"/>
    <w:rsid w:val="00C17876"/>
    <w:rsid w:val="00C3567A"/>
    <w:rsid w:val="00C4209F"/>
    <w:rsid w:val="00C53419"/>
    <w:rsid w:val="00C65912"/>
    <w:rsid w:val="00C753D8"/>
    <w:rsid w:val="00C760CB"/>
    <w:rsid w:val="00C851A8"/>
    <w:rsid w:val="00CA2B8E"/>
    <w:rsid w:val="00CB4B96"/>
    <w:rsid w:val="00CC4B90"/>
    <w:rsid w:val="00CC7CC1"/>
    <w:rsid w:val="00CD46C3"/>
    <w:rsid w:val="00CF0462"/>
    <w:rsid w:val="00D63660"/>
    <w:rsid w:val="00D704EE"/>
    <w:rsid w:val="00D84F48"/>
    <w:rsid w:val="00D866D1"/>
    <w:rsid w:val="00DC11A3"/>
    <w:rsid w:val="00DD14BB"/>
    <w:rsid w:val="00DE7A32"/>
    <w:rsid w:val="00DF157F"/>
    <w:rsid w:val="00E041FE"/>
    <w:rsid w:val="00E452A1"/>
    <w:rsid w:val="00E82D3D"/>
    <w:rsid w:val="00F30EE8"/>
    <w:rsid w:val="00F358B6"/>
    <w:rsid w:val="00F7738C"/>
    <w:rsid w:val="00FC605B"/>
    <w:rsid w:val="00FE3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527EE9-29C6-47AB-ABFA-EACF8E64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AE"/>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table" w:styleId="Tablaconcuadrcula">
    <w:name w:val="Table Grid"/>
    <w:basedOn w:val="Tablanormal"/>
    <w:uiPriority w:val="39"/>
    <w:rsid w:val="00D7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semiHidden/>
    <w:unhideWhenUsed/>
    <w:rsid w:val="00DC11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683016">
      <w:bodyDiv w:val="1"/>
      <w:marLeft w:val="0"/>
      <w:marRight w:val="0"/>
      <w:marTop w:val="0"/>
      <w:marBottom w:val="0"/>
      <w:divBdr>
        <w:top w:val="none" w:sz="0" w:space="0" w:color="auto"/>
        <w:left w:val="none" w:sz="0" w:space="0" w:color="auto"/>
        <w:bottom w:val="none" w:sz="0" w:space="0" w:color="auto"/>
        <w:right w:val="none" w:sz="0" w:space="0" w:color="auto"/>
      </w:divBdr>
      <w:divsChild>
        <w:div w:id="1673096284">
          <w:marLeft w:val="0"/>
          <w:marRight w:val="0"/>
          <w:marTop w:val="0"/>
          <w:marBottom w:val="0"/>
          <w:divBdr>
            <w:top w:val="none" w:sz="0" w:space="0" w:color="auto"/>
            <w:left w:val="none" w:sz="0" w:space="0" w:color="auto"/>
            <w:bottom w:val="none" w:sz="0" w:space="0" w:color="auto"/>
            <w:right w:val="none" w:sz="0" w:space="0" w:color="auto"/>
          </w:divBdr>
        </w:div>
        <w:div w:id="1822236871">
          <w:marLeft w:val="0"/>
          <w:marRight w:val="0"/>
          <w:marTop w:val="0"/>
          <w:marBottom w:val="0"/>
          <w:divBdr>
            <w:top w:val="none" w:sz="0" w:space="0" w:color="auto"/>
            <w:left w:val="none" w:sz="0" w:space="0" w:color="auto"/>
            <w:bottom w:val="none" w:sz="0" w:space="0" w:color="auto"/>
            <w:right w:val="none" w:sz="0" w:space="0" w:color="auto"/>
          </w:divBdr>
          <w:divsChild>
            <w:div w:id="937983923">
              <w:marLeft w:val="0"/>
              <w:marRight w:val="0"/>
              <w:marTop w:val="0"/>
              <w:marBottom w:val="0"/>
              <w:divBdr>
                <w:top w:val="none" w:sz="0" w:space="0" w:color="auto"/>
                <w:left w:val="none" w:sz="0" w:space="0" w:color="auto"/>
                <w:bottom w:val="none" w:sz="0" w:space="0" w:color="auto"/>
                <w:right w:val="none" w:sz="0" w:space="0" w:color="auto"/>
              </w:divBdr>
            </w:div>
            <w:div w:id="808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2F7B7-2F2F-4D13-9BCB-4E2B7A71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5089</Words>
  <Characters>27992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2018-08-21T16:23:00Z</cp:lastPrinted>
  <dcterms:created xsi:type="dcterms:W3CDTF">2018-11-09T00:41:00Z</dcterms:created>
  <dcterms:modified xsi:type="dcterms:W3CDTF">2018-11-09T02:02:00Z</dcterms:modified>
</cp:coreProperties>
</file>